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560" w:lineRule="exact"/>
        <w:ind w:firstLine="723" w:firstLineChars="200"/>
        <w:jc w:val="both"/>
        <w:outlineLvl w:val="1"/>
        <w:rPr>
          <w:rFonts w:hint="eastAsia" w:ascii="宋体" w:hAnsi="宋体" w:eastAsia="宋体" w:cs="宋体"/>
          <w:b/>
          <w:kern w:val="0"/>
          <w:sz w:val="36"/>
          <w:szCs w:val="36"/>
        </w:rPr>
      </w:pPr>
      <w:bookmarkStart w:id="0" w:name="_GoBack"/>
      <w:bookmarkEnd w:id="0"/>
      <w:r>
        <w:rPr>
          <w:rFonts w:hint="eastAsia" w:ascii="宋体" w:hAnsi="宋体" w:eastAsia="宋体" w:cs="宋体"/>
          <w:b/>
          <w:kern w:val="0"/>
          <w:sz w:val="36"/>
          <w:szCs w:val="36"/>
        </w:rPr>
        <w:t>202</w:t>
      </w:r>
      <w:r>
        <w:rPr>
          <w:rFonts w:hint="eastAsia" w:ascii="宋体" w:hAnsi="宋体" w:eastAsia="宋体" w:cs="宋体"/>
          <w:b/>
          <w:kern w:val="0"/>
          <w:sz w:val="36"/>
          <w:szCs w:val="36"/>
          <w:lang w:val="en-US" w:eastAsia="zh-CN"/>
        </w:rPr>
        <w:t>2</w:t>
      </w:r>
      <w:r>
        <w:rPr>
          <w:rFonts w:hint="eastAsia" w:ascii="宋体" w:hAnsi="宋体" w:eastAsia="宋体" w:cs="宋体"/>
          <w:b/>
          <w:kern w:val="0"/>
          <w:sz w:val="36"/>
          <w:szCs w:val="36"/>
        </w:rPr>
        <w:t>年阜创汇物流组叉车操作技能比赛规程</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本赛项为单项赛，为个人参加比赛。参赛选手根据比赛规定的线路完成各项操作，主要操作内容包括：起步准备、叉运货品、带货绕桩、货品上架、货品移库、托盘码垛、入库停车等。</w:t>
      </w:r>
    </w:p>
    <w:p>
      <w:pPr>
        <w:snapToGrid w:val="0"/>
        <w:spacing w:line="560" w:lineRule="exact"/>
        <w:ind w:firstLine="602" w:firstLineChars="200"/>
        <w:jc w:val="left"/>
        <w:outlineLvl w:val="1"/>
        <w:rPr>
          <w:rFonts w:hint="eastAsia" w:ascii="宋体" w:hAnsi="宋体" w:eastAsia="宋体" w:cs="宋体"/>
          <w:b/>
          <w:kern w:val="0"/>
          <w:sz w:val="30"/>
          <w:szCs w:val="30"/>
        </w:rPr>
      </w:pPr>
      <w:r>
        <w:rPr>
          <w:rFonts w:hint="eastAsia" w:ascii="宋体" w:hAnsi="宋体" w:eastAsia="宋体" w:cs="宋体"/>
          <w:b/>
          <w:kern w:val="0"/>
          <w:sz w:val="30"/>
          <w:szCs w:val="30"/>
        </w:rPr>
        <w:t>一、竞赛时间安排与流程</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本赛项的内容包括物流及叉车基础理论知识考试和叉车技能操作两个部分，比赛时间安排如下：</w:t>
      </w:r>
    </w:p>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（一）物流及叉车基础知识考试</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比赛时限</w:t>
      </w:r>
      <w:r>
        <w:rPr>
          <w:rFonts w:hint="eastAsia" w:ascii="宋体" w:hAnsi="宋体" w:eastAsia="宋体" w:cs="宋体"/>
          <w:kern w:val="0"/>
          <w:sz w:val="30"/>
          <w:szCs w:val="30"/>
          <w:lang w:val="en-US" w:eastAsia="zh-CN"/>
        </w:rPr>
        <w:t>20</w:t>
      </w:r>
      <w:r>
        <w:rPr>
          <w:rFonts w:hint="eastAsia" w:ascii="宋体" w:hAnsi="宋体" w:eastAsia="宋体" w:cs="宋体"/>
          <w:kern w:val="0"/>
          <w:sz w:val="30"/>
          <w:szCs w:val="30"/>
        </w:rPr>
        <w:t>分钟，所有参赛选手在规定的赛场内进行统一进行。</w:t>
      </w:r>
    </w:p>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（二）叉车技能操作</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比赛时限</w:t>
      </w:r>
      <w:r>
        <w:rPr>
          <w:rFonts w:hint="eastAsia" w:ascii="宋体" w:hAnsi="宋体" w:eastAsia="宋体" w:cs="宋体"/>
          <w:kern w:val="0"/>
          <w:sz w:val="30"/>
          <w:szCs w:val="30"/>
          <w:lang w:val="en-US" w:eastAsia="zh-CN"/>
        </w:rPr>
        <w:t>8</w:t>
      </w:r>
      <w:r>
        <w:rPr>
          <w:rFonts w:hint="eastAsia" w:ascii="宋体" w:hAnsi="宋体" w:eastAsia="宋体" w:cs="宋体"/>
          <w:kern w:val="0"/>
          <w:sz w:val="30"/>
          <w:szCs w:val="30"/>
        </w:rPr>
        <w:t>分钟，各参赛选手在同一赛场按抽签顺序依次进行比赛。</w:t>
      </w:r>
    </w:p>
    <w:p>
      <w:pPr>
        <w:snapToGrid w:val="0"/>
        <w:spacing w:line="560" w:lineRule="exact"/>
        <w:ind w:firstLine="602" w:firstLineChars="200"/>
        <w:jc w:val="left"/>
        <w:outlineLvl w:val="1"/>
        <w:rPr>
          <w:rFonts w:hint="eastAsia" w:ascii="宋体" w:hAnsi="宋体" w:eastAsia="宋体" w:cs="宋体"/>
          <w:b/>
          <w:kern w:val="0"/>
          <w:sz w:val="30"/>
          <w:szCs w:val="30"/>
        </w:rPr>
      </w:pPr>
      <w:r>
        <w:rPr>
          <w:rFonts w:hint="eastAsia" w:ascii="宋体" w:hAnsi="宋体" w:eastAsia="宋体" w:cs="宋体"/>
          <w:b/>
          <w:kern w:val="0"/>
          <w:sz w:val="30"/>
          <w:szCs w:val="30"/>
        </w:rPr>
        <w:t>二、竞赛试题</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叉车技能单项赛在比赛内容包括起步准备、叉运货品、带货绕桩、货品上架、货品移库、托盘码垛、入库停车等内容，参赛选手只需比赛规定的线路完成各项操作即可。</w:t>
      </w:r>
    </w:p>
    <w:p>
      <w:pPr>
        <w:snapToGrid w:val="0"/>
        <w:spacing w:line="560" w:lineRule="exact"/>
        <w:ind w:firstLine="602" w:firstLineChars="200"/>
        <w:jc w:val="left"/>
        <w:outlineLvl w:val="1"/>
        <w:rPr>
          <w:rFonts w:hint="eastAsia" w:ascii="宋体" w:hAnsi="宋体" w:eastAsia="宋体" w:cs="宋体"/>
          <w:b/>
          <w:kern w:val="0"/>
          <w:sz w:val="30"/>
          <w:szCs w:val="30"/>
        </w:rPr>
      </w:pPr>
      <w:r>
        <w:rPr>
          <w:rFonts w:hint="eastAsia" w:ascii="宋体" w:hAnsi="宋体" w:eastAsia="宋体" w:cs="宋体"/>
          <w:b/>
          <w:kern w:val="0"/>
          <w:sz w:val="30"/>
          <w:szCs w:val="30"/>
        </w:rPr>
        <w:t>三、评分标准制定原则、评分方法、评分细则</w:t>
      </w:r>
    </w:p>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（一）评分标准制定原则</w:t>
      </w:r>
    </w:p>
    <w:p>
      <w:pPr>
        <w:pStyle w:val="6"/>
        <w:spacing w:before="0" w:beforeAutospacing="0" w:after="0" w:afterAutospacing="0"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比赛以技能考核为主，兼顾职业道德素养和理论知识水平的综合评定。</w:t>
      </w:r>
    </w:p>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（二）评分方法</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1.物流基础理论知识考试</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叉车构造、维护、商品包装、物流基础</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2.叉车技能单项赛</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赛项参赛选手总成绩由叉车技能单项赛成绩和理论知识考试成绩组成，计算方法为：</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赛项参赛选手总成绩=叉车技能单项赛成绩 * 0.8  + 理论考试成绩 * 0.2</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叉车技能单项赛成绩=操作质量成绩 * 0.8  + 操作速度成绩 * 0.2</w:t>
      </w:r>
    </w:p>
    <w:p>
      <w:pPr>
        <w:tabs>
          <w:tab w:val="left" w:pos="900"/>
        </w:tabs>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1）操作质量主要从参赛选手操作的安全性、规范性进行评判。评分方式为：初始分值为100，裁判根据评分要素对参赛选手在作业过程中的不安全行为、失误、不规范操作进行扣分，同时对未完成的作业按比例扣除该作业内容的相应分值，各作业内容的阶段总分值如下：</w:t>
      </w:r>
    </w:p>
    <w:p>
      <w:pPr>
        <w:spacing w:line="560" w:lineRule="exact"/>
        <w:ind w:left="700" w:firstLine="600" w:firstLineChars="200"/>
        <w:rPr>
          <w:rFonts w:hint="eastAsia" w:ascii="宋体" w:hAnsi="宋体" w:eastAsia="宋体" w:cs="宋体"/>
          <w:sz w:val="30"/>
          <w:szCs w:val="30"/>
        </w:rPr>
      </w:pPr>
      <w:r>
        <w:rPr>
          <w:rFonts w:hint="eastAsia" w:ascii="宋体" w:hAnsi="宋体" w:eastAsia="宋体" w:cs="宋体"/>
          <w:sz w:val="30"/>
          <w:szCs w:val="30"/>
        </w:rPr>
        <w:t xml:space="preserve">起步前准备、启动叉车         </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9分</w:t>
      </w:r>
    </w:p>
    <w:p>
      <w:pPr>
        <w:spacing w:line="560" w:lineRule="exact"/>
        <w:ind w:left="700" w:firstLine="600" w:firstLineChars="200"/>
        <w:rPr>
          <w:rFonts w:hint="eastAsia" w:ascii="宋体" w:hAnsi="宋体" w:eastAsia="宋体" w:cs="宋体"/>
          <w:sz w:val="30"/>
          <w:szCs w:val="30"/>
        </w:rPr>
      </w:pPr>
      <w:r>
        <w:rPr>
          <w:rFonts w:hint="eastAsia" w:ascii="宋体" w:hAnsi="宋体" w:eastAsia="宋体" w:cs="宋体"/>
          <w:sz w:val="30"/>
          <w:szCs w:val="30"/>
        </w:rPr>
        <w:t>叉取货品、带货绕桩</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 xml:space="preserve">   </w:t>
      </w:r>
      <w:r>
        <w:rPr>
          <w:rFonts w:hint="eastAsia" w:ascii="宋体" w:hAnsi="宋体" w:eastAsia="宋体" w:cs="宋体"/>
          <w:sz w:val="30"/>
          <w:szCs w:val="30"/>
        </w:rPr>
        <w:tab/>
      </w:r>
      <w:r>
        <w:rPr>
          <w:rFonts w:hint="eastAsia" w:ascii="宋体" w:hAnsi="宋体" w:eastAsia="宋体" w:cs="宋体"/>
          <w:sz w:val="30"/>
          <w:szCs w:val="30"/>
        </w:rPr>
        <w:t>24分</w:t>
      </w:r>
    </w:p>
    <w:p>
      <w:pPr>
        <w:spacing w:line="560" w:lineRule="exact"/>
        <w:ind w:left="700" w:firstLine="600" w:firstLineChars="200"/>
        <w:rPr>
          <w:rFonts w:hint="eastAsia" w:ascii="宋体" w:hAnsi="宋体" w:eastAsia="宋体" w:cs="宋体"/>
          <w:sz w:val="30"/>
          <w:szCs w:val="30"/>
        </w:rPr>
      </w:pPr>
      <w:r>
        <w:rPr>
          <w:rFonts w:hint="eastAsia" w:ascii="宋体" w:hAnsi="宋体" w:eastAsia="宋体" w:cs="宋体"/>
          <w:sz w:val="30"/>
          <w:szCs w:val="30"/>
        </w:rPr>
        <w:t>货品入库</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 xml:space="preserve">    </w:t>
      </w:r>
      <w:r>
        <w:rPr>
          <w:rFonts w:hint="eastAsia" w:ascii="宋体" w:hAnsi="宋体" w:eastAsia="宋体" w:cs="宋体"/>
          <w:sz w:val="30"/>
          <w:szCs w:val="30"/>
        </w:rPr>
        <w:tab/>
      </w:r>
      <w:r>
        <w:rPr>
          <w:rFonts w:hint="eastAsia" w:ascii="宋体" w:hAnsi="宋体" w:eastAsia="宋体" w:cs="宋体"/>
          <w:sz w:val="30"/>
          <w:szCs w:val="30"/>
        </w:rPr>
        <w:t>8分</w:t>
      </w:r>
    </w:p>
    <w:p>
      <w:pPr>
        <w:spacing w:line="560" w:lineRule="exact"/>
        <w:ind w:left="700" w:firstLine="600" w:firstLineChars="200"/>
        <w:rPr>
          <w:rFonts w:hint="eastAsia" w:ascii="宋体" w:hAnsi="宋体" w:eastAsia="宋体" w:cs="宋体"/>
          <w:sz w:val="30"/>
          <w:szCs w:val="30"/>
        </w:rPr>
      </w:pPr>
      <w:r>
        <w:rPr>
          <w:rFonts w:hint="eastAsia" w:ascii="宋体" w:hAnsi="宋体" w:eastAsia="宋体" w:cs="宋体"/>
          <w:sz w:val="30"/>
          <w:szCs w:val="30"/>
        </w:rPr>
        <w:t>货品移库</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 xml:space="preserve">   </w:t>
      </w:r>
      <w:r>
        <w:rPr>
          <w:rFonts w:hint="eastAsia" w:ascii="宋体" w:hAnsi="宋体" w:eastAsia="宋体" w:cs="宋体"/>
          <w:sz w:val="30"/>
          <w:szCs w:val="30"/>
        </w:rPr>
        <w:tab/>
      </w:r>
      <w:r>
        <w:rPr>
          <w:rFonts w:hint="eastAsia" w:ascii="宋体" w:hAnsi="宋体" w:eastAsia="宋体" w:cs="宋体"/>
          <w:sz w:val="30"/>
          <w:szCs w:val="30"/>
        </w:rPr>
        <w:t>10分</w:t>
      </w:r>
    </w:p>
    <w:p>
      <w:pPr>
        <w:spacing w:line="560" w:lineRule="exact"/>
        <w:ind w:left="700" w:firstLine="600" w:firstLineChars="200"/>
        <w:rPr>
          <w:rFonts w:hint="eastAsia" w:ascii="宋体" w:hAnsi="宋体" w:eastAsia="宋体" w:cs="宋体"/>
          <w:sz w:val="30"/>
          <w:szCs w:val="30"/>
        </w:rPr>
      </w:pPr>
      <w:r>
        <w:rPr>
          <w:rFonts w:hint="eastAsia" w:ascii="宋体" w:hAnsi="宋体" w:eastAsia="宋体" w:cs="宋体"/>
          <w:sz w:val="30"/>
          <w:szCs w:val="30"/>
        </w:rPr>
        <w:t xml:space="preserve">叉取托盘1                      </w:t>
      </w:r>
      <w:r>
        <w:rPr>
          <w:rFonts w:hint="eastAsia" w:ascii="宋体" w:hAnsi="宋体" w:eastAsia="宋体" w:cs="宋体"/>
          <w:sz w:val="30"/>
          <w:szCs w:val="30"/>
        </w:rPr>
        <w:tab/>
      </w:r>
      <w:r>
        <w:rPr>
          <w:rFonts w:hint="eastAsia" w:ascii="宋体" w:hAnsi="宋体" w:eastAsia="宋体" w:cs="宋体"/>
          <w:sz w:val="30"/>
          <w:szCs w:val="30"/>
        </w:rPr>
        <w:t>3分</w:t>
      </w:r>
    </w:p>
    <w:p>
      <w:pPr>
        <w:spacing w:line="560" w:lineRule="exact"/>
        <w:ind w:left="700" w:firstLine="600" w:firstLineChars="200"/>
        <w:rPr>
          <w:rFonts w:hint="eastAsia" w:ascii="宋体" w:hAnsi="宋体" w:eastAsia="宋体" w:cs="宋体"/>
          <w:sz w:val="30"/>
          <w:szCs w:val="30"/>
        </w:rPr>
      </w:pPr>
      <w:r>
        <w:rPr>
          <w:rFonts w:hint="eastAsia" w:ascii="宋体" w:hAnsi="宋体" w:eastAsia="宋体" w:cs="宋体"/>
          <w:sz w:val="30"/>
          <w:szCs w:val="30"/>
        </w:rPr>
        <w:t xml:space="preserve">过窄通道区及车向调整区      </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8分</w:t>
      </w:r>
    </w:p>
    <w:p>
      <w:pPr>
        <w:spacing w:line="560" w:lineRule="exact"/>
        <w:ind w:left="700" w:firstLine="600" w:firstLineChars="200"/>
        <w:rPr>
          <w:rFonts w:hint="eastAsia" w:ascii="宋体" w:hAnsi="宋体" w:eastAsia="宋体" w:cs="宋体"/>
          <w:sz w:val="30"/>
          <w:szCs w:val="30"/>
        </w:rPr>
      </w:pPr>
      <w:r>
        <w:rPr>
          <w:rFonts w:hint="eastAsia" w:ascii="宋体" w:hAnsi="宋体" w:eastAsia="宋体" w:cs="宋体"/>
          <w:sz w:val="30"/>
          <w:szCs w:val="30"/>
        </w:rPr>
        <w:t xml:space="preserve">过约束区      </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 xml:space="preserve"> </w:t>
      </w:r>
      <w:r>
        <w:rPr>
          <w:rFonts w:hint="eastAsia" w:ascii="宋体" w:hAnsi="宋体" w:eastAsia="宋体" w:cs="宋体"/>
          <w:sz w:val="30"/>
          <w:szCs w:val="30"/>
        </w:rPr>
        <w:tab/>
      </w:r>
      <w:r>
        <w:rPr>
          <w:rFonts w:hint="eastAsia" w:ascii="宋体" w:hAnsi="宋体" w:eastAsia="宋体" w:cs="宋体"/>
          <w:sz w:val="30"/>
          <w:szCs w:val="30"/>
        </w:rPr>
        <w:t>8分</w:t>
      </w:r>
    </w:p>
    <w:p>
      <w:pPr>
        <w:spacing w:line="560" w:lineRule="exact"/>
        <w:ind w:left="700" w:firstLine="600" w:firstLineChars="200"/>
        <w:rPr>
          <w:rFonts w:hint="eastAsia" w:ascii="宋体" w:hAnsi="宋体" w:eastAsia="宋体" w:cs="宋体"/>
          <w:sz w:val="30"/>
          <w:szCs w:val="30"/>
        </w:rPr>
      </w:pPr>
      <w:r>
        <w:rPr>
          <w:rFonts w:hint="eastAsia" w:ascii="宋体" w:hAnsi="宋体" w:eastAsia="宋体" w:cs="宋体"/>
          <w:sz w:val="30"/>
          <w:szCs w:val="30"/>
        </w:rPr>
        <w:t xml:space="preserve">托盘码垛 </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 xml:space="preserve">   </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25分</w:t>
      </w:r>
    </w:p>
    <w:p>
      <w:pPr>
        <w:spacing w:line="560" w:lineRule="exact"/>
        <w:ind w:left="700" w:firstLine="600" w:firstLineChars="200"/>
        <w:rPr>
          <w:rFonts w:hint="eastAsia" w:ascii="宋体" w:hAnsi="宋体" w:eastAsia="宋体" w:cs="宋体"/>
          <w:sz w:val="30"/>
          <w:szCs w:val="30"/>
        </w:rPr>
      </w:pPr>
      <w:r>
        <w:rPr>
          <w:rFonts w:hint="eastAsia" w:ascii="宋体" w:hAnsi="宋体" w:eastAsia="宋体" w:cs="宋体"/>
          <w:sz w:val="30"/>
          <w:szCs w:val="30"/>
        </w:rPr>
        <w:t>入库停车</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 xml:space="preserve">   </w:t>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ab/>
      </w:r>
      <w:r>
        <w:rPr>
          <w:rFonts w:hint="eastAsia" w:ascii="宋体" w:hAnsi="宋体" w:eastAsia="宋体" w:cs="宋体"/>
          <w:sz w:val="30"/>
          <w:szCs w:val="30"/>
        </w:rPr>
        <w:t>5分</w:t>
      </w:r>
    </w:p>
    <w:p>
      <w:pPr>
        <w:tabs>
          <w:tab w:val="left" w:pos="900"/>
        </w:tabs>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（2）操作速度成绩计分方法为：</w:t>
      </w:r>
    </w:p>
    <w:p>
      <w:pPr>
        <w:tabs>
          <w:tab w:val="left" w:pos="900"/>
        </w:tabs>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操作速度成绩=[600秒-参赛选手实际操作时间（秒）]*0.185，10分钟内未能完成比赛流程的参赛选手此项不得分。</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按比赛成绩从高到低排列参赛选手的名次，成绩相同的，名次并列</w:t>
      </w:r>
      <w:r>
        <w:rPr>
          <w:rFonts w:hint="eastAsia" w:ascii="宋体" w:hAnsi="宋体" w:eastAsia="宋体" w:cs="宋体"/>
          <w:b/>
          <w:sz w:val="30"/>
          <w:szCs w:val="30"/>
        </w:rPr>
        <w:t>。</w:t>
      </w:r>
    </w:p>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（三）评分细则</w:t>
      </w:r>
    </w:p>
    <w:tbl>
      <w:tblPr>
        <w:tblStyle w:val="7"/>
        <w:tblW w:w="0" w:type="auto"/>
        <w:tblInd w:w="93" w:type="dxa"/>
        <w:tblLayout w:type="fixed"/>
        <w:tblCellMar>
          <w:top w:w="0" w:type="dxa"/>
          <w:left w:w="108" w:type="dxa"/>
          <w:bottom w:w="0" w:type="dxa"/>
          <w:right w:w="108" w:type="dxa"/>
        </w:tblCellMar>
      </w:tblPr>
      <w:tblGrid>
        <w:gridCol w:w="700"/>
        <w:gridCol w:w="1712"/>
        <w:gridCol w:w="4891"/>
        <w:gridCol w:w="735"/>
        <w:gridCol w:w="766"/>
      </w:tblGrid>
      <w:tr>
        <w:tblPrEx>
          <w:tblCellMar>
            <w:top w:w="0" w:type="dxa"/>
            <w:left w:w="108" w:type="dxa"/>
            <w:bottom w:w="0" w:type="dxa"/>
            <w:right w:w="108" w:type="dxa"/>
          </w:tblCellMar>
        </w:tblPrEx>
        <w:trPr>
          <w:trHeight w:val="540"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序号</w:t>
            </w:r>
          </w:p>
        </w:tc>
        <w:tc>
          <w:tcPr>
            <w:tcW w:w="1712"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名称</w:t>
            </w:r>
          </w:p>
        </w:tc>
        <w:tc>
          <w:tcPr>
            <w:tcW w:w="4891"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说明</w:t>
            </w:r>
          </w:p>
        </w:tc>
        <w:tc>
          <w:tcPr>
            <w:tcW w:w="735"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级别</w:t>
            </w:r>
          </w:p>
        </w:tc>
        <w:tc>
          <w:tcPr>
            <w:tcW w:w="766"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分值</w:t>
            </w:r>
          </w:p>
        </w:tc>
      </w:tr>
      <w:tr>
        <w:tblPrEx>
          <w:tblCellMar>
            <w:top w:w="0" w:type="dxa"/>
            <w:left w:w="108" w:type="dxa"/>
            <w:bottom w:w="0" w:type="dxa"/>
            <w:right w:w="108" w:type="dxa"/>
          </w:tblCellMar>
        </w:tblPrEx>
        <w:trPr>
          <w:trHeight w:val="81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未按规范上车</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左手扶安全把手、右手扶座椅、左脚登踏、正确系上安全带和佩戴安全帽（以上步骤少做一步计数1次）</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0.4</w:t>
            </w:r>
          </w:p>
        </w:tc>
      </w:tr>
      <w:tr>
        <w:tblPrEx>
          <w:tblCellMar>
            <w:top w:w="0" w:type="dxa"/>
            <w:left w:w="108" w:type="dxa"/>
            <w:bottom w:w="0" w:type="dxa"/>
            <w:right w:w="108" w:type="dxa"/>
          </w:tblCellMar>
        </w:tblPrEx>
        <w:trPr>
          <w:trHeight w:val="716"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未按规范起步</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合上电源总开关，闭合方向开关，鸣笛，松开驻车制动，上升货叉，门架后仰（以上步骤少做一步计数1次，顺序不正确只计数1次）</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0.6</w:t>
            </w:r>
          </w:p>
        </w:tc>
      </w:tr>
      <w:tr>
        <w:tblPrEx>
          <w:tblCellMar>
            <w:top w:w="0" w:type="dxa"/>
            <w:left w:w="108" w:type="dxa"/>
            <w:bottom w:w="0" w:type="dxa"/>
            <w:right w:w="108" w:type="dxa"/>
          </w:tblCellMar>
        </w:tblPrEx>
        <w:trPr>
          <w:trHeight w:val="855"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未按规范停车下车</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减速停车，门架回位，车轮回正，拉紧驻车制动，方向开关回位，关闭电锁，切断总电源，规范下车（以上步骤少做一步计数1次，顺序不正确只计数1次）</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0.6</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货叉离地距离（叉车行驶时）</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叉车在行驶时，货叉离地距离不在30cm-40cm之间（在同一区域只计数1次）</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bCs/>
                <w:kern w:val="0"/>
                <w:sz w:val="24"/>
                <w:szCs w:val="24"/>
              </w:rPr>
            </w:pPr>
            <w:r>
              <w:rPr>
                <w:rFonts w:hint="eastAsia" w:ascii="宋体" w:hAnsi="宋体" w:eastAsia="宋体" w:cs="宋体"/>
                <w:bCs/>
                <w:kern w:val="0"/>
                <w:sz w:val="24"/>
                <w:szCs w:val="24"/>
              </w:rPr>
              <w:t>紧急制动使用不当</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bCs/>
                <w:kern w:val="0"/>
                <w:sz w:val="24"/>
                <w:szCs w:val="24"/>
              </w:rPr>
            </w:pPr>
            <w:r>
              <w:rPr>
                <w:rFonts w:hint="eastAsia" w:ascii="宋体" w:hAnsi="宋体" w:eastAsia="宋体" w:cs="宋体"/>
                <w:bCs/>
                <w:kern w:val="0"/>
                <w:sz w:val="24"/>
                <w:szCs w:val="24"/>
              </w:rPr>
              <w:t>制动过程出现拖痕（按发生次数计数）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5级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叉车碰撞边线杆</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叉车碰撞边线杆（按杆个数计数）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4级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669"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叉车与其他设备设施发生刮蹭或碰撞</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叉车与其他设备设施发生刮蹭或碰撞，包括托盘、货物、线边杆、货架等（按发生次数计数）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4级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81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未按规范叉取货物</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未按取货八步：驶进货位、垂直门架、调整叉高、进叉取货、微提货叉、后倾门架、驶离货位、调整叉高要求进行叉取货物（以上步骤少做一步计数1次，顺序不正确只计数1次）</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0.6</w:t>
            </w:r>
          </w:p>
        </w:tc>
      </w:tr>
      <w:tr>
        <w:tblPrEx>
          <w:tblCellMar>
            <w:top w:w="0" w:type="dxa"/>
            <w:left w:w="108" w:type="dxa"/>
            <w:bottom w:w="0" w:type="dxa"/>
            <w:right w:w="108" w:type="dxa"/>
          </w:tblCellMar>
        </w:tblPrEx>
        <w:trPr>
          <w:trHeight w:val="81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未按规范卸载货物</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未按卸载八步：驶进货位、垂直门架、调整叉高、进车对位、落叉卸货、退车抽叉、后倾门架、调整叉高进行卸载货物（以上步骤少做一步计数1次，顺序不正确只计数1次）</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0.6</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轮胎离地</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叉车行驶中出现轮胎离地（按发生次数计数）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5级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737"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11</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起步前未按规范巡检</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没有按巡检要求进行检查，检查项目为：门架、前后轮胎、仪表</w:t>
            </w:r>
            <w:r>
              <w:rPr>
                <w:rFonts w:hint="eastAsia" w:ascii="宋体" w:hAnsi="宋体" w:eastAsia="宋体" w:cs="宋体"/>
                <w:b/>
                <w:bCs/>
                <w:kern w:val="0"/>
                <w:sz w:val="24"/>
                <w:szCs w:val="24"/>
              </w:rPr>
              <w:t>（按发生次数计数）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0.4</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12</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起步未经报告</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检查完毕后，选手没有坐在车上向裁判举手报告就起步</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0.4</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13</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叉车未停在指定区域内</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入库停车时，叉车超出定位线</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0.6</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14</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入库停车后未报告</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规范下车，举手报告操作完毕</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0.4</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15</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叉取货物失败</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叉取货物未能一次成功（按调整次数计数）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0.6</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16</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货物掉落</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货物掉落（按货物掉落的箱数计数）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4级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34"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17</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叉车撞桩</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叉车行驶时撞桩（按发生次数计数）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4级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18</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托盘入位不整齐</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托盘放置不整齐（</w:t>
            </w:r>
            <w:r>
              <w:rPr>
                <w:rFonts w:hint="eastAsia" w:ascii="宋体" w:hAnsi="宋体" w:eastAsia="宋体" w:cs="宋体"/>
                <w:sz w:val="24"/>
                <w:szCs w:val="24"/>
              </w:rPr>
              <w:t>标准为托盘前后端各距横梁20cm，托盘左右端距离立柱及横梁中心（横梁长2.64m）16cm；在此标准下，托盘前后和左右超出标准距离2cm视为托盘放置不整齐</w:t>
            </w:r>
            <w:r>
              <w:rPr>
                <w:rFonts w:hint="eastAsia" w:ascii="宋体" w:hAnsi="宋体" w:eastAsia="宋体" w:cs="宋体"/>
                <w:kern w:val="0"/>
                <w:sz w:val="24"/>
                <w:szCs w:val="24"/>
              </w:rPr>
              <w:t>）</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19</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出入货位调整次数</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出入货位调整次数（按发生次数计数）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0.6</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入库货位不准确</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入库货位不是为</w:t>
            </w:r>
            <w:r>
              <w:rPr>
                <w:rFonts w:hint="eastAsia" w:ascii="宋体" w:hAnsi="宋体" w:eastAsia="宋体" w:cs="宋体"/>
                <w:b/>
                <w:bCs/>
                <w:kern w:val="0"/>
                <w:sz w:val="24"/>
                <w:szCs w:val="24"/>
              </w:rPr>
              <w:t>A2</w:t>
            </w:r>
            <w:r>
              <w:rPr>
                <w:rFonts w:hint="eastAsia" w:ascii="宋体" w:hAnsi="宋体" w:eastAsia="宋体" w:cs="宋体"/>
                <w:kern w:val="0"/>
                <w:sz w:val="24"/>
                <w:szCs w:val="24"/>
              </w:rPr>
              <w:t>，或者未完成本阶段作业</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4级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21</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移库货位不准确</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移库货位不是从</w:t>
            </w:r>
            <w:r>
              <w:rPr>
                <w:rFonts w:hint="eastAsia" w:ascii="宋体" w:hAnsi="宋体" w:eastAsia="宋体" w:cs="宋体"/>
                <w:b/>
                <w:bCs/>
                <w:kern w:val="0"/>
                <w:sz w:val="24"/>
                <w:szCs w:val="24"/>
              </w:rPr>
              <w:t>D3</w:t>
            </w:r>
            <w:r>
              <w:rPr>
                <w:rFonts w:hint="eastAsia" w:ascii="宋体" w:hAnsi="宋体" w:eastAsia="宋体" w:cs="宋体"/>
                <w:kern w:val="0"/>
                <w:sz w:val="24"/>
                <w:szCs w:val="24"/>
              </w:rPr>
              <w:t>到</w:t>
            </w:r>
            <w:r>
              <w:rPr>
                <w:rFonts w:hint="eastAsia" w:ascii="宋体" w:hAnsi="宋体" w:eastAsia="宋体" w:cs="宋体"/>
                <w:b/>
                <w:bCs/>
                <w:kern w:val="0"/>
                <w:sz w:val="24"/>
                <w:szCs w:val="24"/>
              </w:rPr>
              <w:t>B2</w:t>
            </w:r>
            <w:r>
              <w:rPr>
                <w:rFonts w:hint="eastAsia" w:ascii="宋体" w:hAnsi="宋体" w:eastAsia="宋体" w:cs="宋体"/>
                <w:kern w:val="0"/>
                <w:sz w:val="24"/>
                <w:szCs w:val="24"/>
              </w:rPr>
              <w:t>，或者未完成本阶段作业</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4级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shd w:val="clear" w:color="auto" w:fill="auto"/>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22</w:t>
            </w:r>
          </w:p>
        </w:tc>
        <w:tc>
          <w:tcPr>
            <w:tcW w:w="1712" w:type="dxa"/>
            <w:tcBorders>
              <w:top w:val="nil"/>
              <w:left w:val="nil"/>
              <w:bottom w:val="single" w:color="auto" w:sz="4" w:space="0"/>
              <w:right w:val="single" w:color="auto" w:sz="4" w:space="0"/>
            </w:tcBorders>
            <w:shd w:val="clear" w:color="000000" w:fill="FFFFFF"/>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钢管掉落</w:t>
            </w:r>
          </w:p>
        </w:tc>
        <w:tc>
          <w:tcPr>
            <w:tcW w:w="4891" w:type="dxa"/>
            <w:tcBorders>
              <w:top w:val="nil"/>
              <w:left w:val="nil"/>
              <w:bottom w:val="single" w:color="auto" w:sz="4" w:space="0"/>
              <w:right w:val="single" w:color="auto" w:sz="4" w:space="0"/>
            </w:tcBorders>
            <w:shd w:val="clear" w:color="000000" w:fill="FFFFFF"/>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行车过程钢管掉落（按钢管掉落的个数计数）</w:t>
            </w:r>
          </w:p>
        </w:tc>
        <w:tc>
          <w:tcPr>
            <w:tcW w:w="735" w:type="dxa"/>
            <w:tcBorders>
              <w:top w:val="nil"/>
              <w:left w:val="nil"/>
              <w:bottom w:val="single" w:color="auto" w:sz="4" w:space="0"/>
              <w:right w:val="single" w:color="auto" w:sz="4" w:space="0"/>
            </w:tcBorders>
            <w:shd w:val="clear" w:color="000000" w:fill="FFFFFF"/>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3级</w:t>
            </w:r>
          </w:p>
        </w:tc>
        <w:tc>
          <w:tcPr>
            <w:tcW w:w="766" w:type="dxa"/>
            <w:tcBorders>
              <w:top w:val="nil"/>
              <w:left w:val="nil"/>
              <w:bottom w:val="single" w:color="auto" w:sz="4" w:space="0"/>
              <w:right w:val="single" w:color="auto" w:sz="4" w:space="0"/>
            </w:tcBorders>
            <w:shd w:val="clear" w:color="000000" w:fill="FFFFFF"/>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23</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已堆码托盘上的钢管掉落</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托盘未倒跺时，已堆码托盘上的钢管掉落的个数（按钢管掉落的个数计数）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24</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货叉直接从未码垛的托盘上越过</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货叉直接从未码垛的托盘上越过（按越过的未码垛的托盘数计数）</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5级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25</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行驶中升降货叉</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叉车行驶中升降货叉</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26</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转向时未打转向灯</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sz w:val="24"/>
                <w:szCs w:val="24"/>
              </w:rPr>
              <w:t>除带货绕桩环节，叉车转向时未打转向灯</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27</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危险或不规范动作（普通）</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本表没有定义的一般扣分事项（普通级）：具体分值由裁判组和仲裁组共同确定</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1-3级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0.4-1</w:t>
            </w:r>
          </w:p>
        </w:tc>
      </w:tr>
      <w:tr>
        <w:tblPrEx>
          <w:tblCellMar>
            <w:top w:w="0" w:type="dxa"/>
            <w:left w:w="108" w:type="dxa"/>
            <w:bottom w:w="0" w:type="dxa"/>
            <w:right w:w="108" w:type="dxa"/>
          </w:tblCellMar>
        </w:tblPrEx>
        <w:trPr>
          <w:trHeight w:val="573" w:hRule="atLeast"/>
        </w:trPr>
        <w:tc>
          <w:tcPr>
            <w:tcW w:w="700" w:type="dxa"/>
            <w:tcBorders>
              <w:top w:val="nil"/>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28</w:t>
            </w:r>
          </w:p>
        </w:tc>
        <w:tc>
          <w:tcPr>
            <w:tcW w:w="1712" w:type="dxa"/>
            <w:tcBorders>
              <w:top w:val="nil"/>
              <w:left w:val="nil"/>
              <w:bottom w:val="single" w:color="auto" w:sz="4" w:space="0"/>
              <w:right w:val="single" w:color="auto" w:sz="4" w:space="0"/>
            </w:tcBorders>
            <w:noWrap w:val="0"/>
            <w:vAlign w:val="center"/>
          </w:tcPr>
          <w:p>
            <w:pPr>
              <w:rPr>
                <w:rFonts w:hint="eastAsia" w:ascii="宋体" w:hAnsi="宋体" w:eastAsia="宋体" w:cs="宋体"/>
                <w:kern w:val="0"/>
                <w:sz w:val="24"/>
                <w:szCs w:val="24"/>
              </w:rPr>
            </w:pPr>
            <w:r>
              <w:rPr>
                <w:rFonts w:hint="eastAsia" w:ascii="宋体" w:hAnsi="宋体" w:eastAsia="宋体" w:cs="宋体"/>
                <w:kern w:val="0"/>
                <w:sz w:val="24"/>
                <w:szCs w:val="24"/>
              </w:rPr>
              <w:t>危险或不规范动作（严重）</w:t>
            </w:r>
          </w:p>
        </w:tc>
        <w:tc>
          <w:tcPr>
            <w:tcW w:w="4891" w:type="dxa"/>
            <w:tcBorders>
              <w:top w:val="nil"/>
              <w:left w:val="nil"/>
              <w:bottom w:val="single" w:color="auto" w:sz="4" w:space="0"/>
              <w:right w:val="single" w:color="auto" w:sz="4"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本表没有定义的扣分严重事项，必要时裁判可以终止比赛（严重级）：具体分值由裁判组和仲裁组共同确定</w:t>
            </w:r>
          </w:p>
        </w:tc>
        <w:tc>
          <w:tcPr>
            <w:tcW w:w="735" w:type="dxa"/>
            <w:tcBorders>
              <w:top w:val="nil"/>
              <w:left w:val="nil"/>
              <w:bottom w:val="single" w:color="auto" w:sz="4" w:space="0"/>
              <w:right w:val="single" w:color="auto" w:sz="4" w:space="0"/>
            </w:tcBorders>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4-5级</w:t>
            </w:r>
          </w:p>
        </w:tc>
        <w:tc>
          <w:tcPr>
            <w:tcW w:w="766"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kern w:val="0"/>
                <w:sz w:val="24"/>
                <w:szCs w:val="24"/>
              </w:rPr>
            </w:pPr>
            <w:r>
              <w:rPr>
                <w:rFonts w:hint="eastAsia" w:ascii="宋体" w:hAnsi="宋体" w:eastAsia="宋体" w:cs="宋体"/>
                <w:kern w:val="0"/>
                <w:sz w:val="24"/>
                <w:szCs w:val="24"/>
              </w:rPr>
              <w:t>3-5</w:t>
            </w:r>
          </w:p>
        </w:tc>
      </w:tr>
      <w:tr>
        <w:tblPrEx>
          <w:tblCellMar>
            <w:top w:w="0" w:type="dxa"/>
            <w:left w:w="108" w:type="dxa"/>
            <w:bottom w:w="0" w:type="dxa"/>
            <w:right w:w="108" w:type="dxa"/>
          </w:tblCellMar>
        </w:tblPrEx>
        <w:trPr>
          <w:trHeight w:val="1650" w:hRule="atLeast"/>
        </w:trPr>
        <w:tc>
          <w:tcPr>
            <w:tcW w:w="8804" w:type="dxa"/>
            <w:gridSpan w:val="5"/>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eastAsia="宋体" w:cs="宋体"/>
                <w:kern w:val="0"/>
                <w:sz w:val="24"/>
                <w:szCs w:val="24"/>
              </w:rPr>
            </w:pPr>
            <w:r>
              <w:rPr>
                <w:rFonts w:hint="eastAsia" w:ascii="宋体" w:hAnsi="宋体" w:eastAsia="宋体" w:cs="宋体"/>
                <w:b/>
                <w:bCs/>
                <w:kern w:val="0"/>
                <w:sz w:val="24"/>
                <w:szCs w:val="24"/>
              </w:rPr>
              <w:t>备注：</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 级别是综合操作安全、操作规范进行划分，分为1到6级，危险程度和规范要求程度依次增加，对应的分数分别为，</w:t>
            </w:r>
            <w:r>
              <w:rPr>
                <w:rFonts w:hint="eastAsia" w:ascii="宋体" w:hAnsi="宋体" w:eastAsia="宋体" w:cs="宋体"/>
                <w:b/>
                <w:kern w:val="0"/>
                <w:sz w:val="24"/>
                <w:szCs w:val="24"/>
              </w:rPr>
              <w:t>1级：0.4，2级：0.6，3级：1，4级：3，5级：5。</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 当选手出现本表没有定义的危险或不规范动作时，裁判记录比赛的情况，并由</w:t>
            </w:r>
            <w:r>
              <w:rPr>
                <w:rFonts w:hint="eastAsia" w:ascii="宋体" w:hAnsi="宋体" w:eastAsia="宋体" w:cs="宋体"/>
                <w:sz w:val="24"/>
                <w:szCs w:val="24"/>
              </w:rPr>
              <w:t>裁判组和仲裁组共同确定具体的分值</w:t>
            </w:r>
            <w:r>
              <w:rPr>
                <w:rFonts w:hint="eastAsia" w:ascii="宋体" w:hAnsi="宋体" w:eastAsia="宋体" w:cs="宋体"/>
                <w:kern w:val="0"/>
                <w:sz w:val="24"/>
                <w:szCs w:val="24"/>
              </w:rPr>
              <w:t>，动作分为普通和严重两个级别。</w:t>
            </w:r>
            <w:r>
              <w:rPr>
                <w:rFonts w:hint="eastAsia" w:ascii="宋体" w:hAnsi="宋体" w:eastAsia="宋体" w:cs="宋体"/>
                <w:kern w:val="0"/>
                <w:sz w:val="24"/>
                <w:szCs w:val="24"/>
              </w:rPr>
              <w:br w:type="textWrapping"/>
            </w:r>
            <w:r>
              <w:rPr>
                <w:rFonts w:hint="eastAsia" w:ascii="宋体" w:hAnsi="宋体" w:eastAsia="宋体" w:cs="宋体"/>
                <w:kern w:val="0"/>
                <w:sz w:val="24"/>
                <w:szCs w:val="24"/>
              </w:rPr>
              <w:t>3. 在任何时候，如果裁判认为有必要，经裁判长同意，可以终止选手的比赛。</w:t>
            </w:r>
          </w:p>
        </w:tc>
      </w:tr>
    </w:tbl>
    <w:p>
      <w:pPr>
        <w:snapToGrid w:val="0"/>
        <w:spacing w:line="560" w:lineRule="exact"/>
        <w:ind w:firstLine="602" w:firstLineChars="200"/>
        <w:jc w:val="left"/>
        <w:outlineLvl w:val="1"/>
        <w:rPr>
          <w:rFonts w:hint="eastAsia" w:ascii="宋体" w:hAnsi="宋体" w:eastAsia="宋体" w:cs="宋体"/>
          <w:b/>
          <w:kern w:val="0"/>
          <w:sz w:val="30"/>
          <w:szCs w:val="30"/>
        </w:rPr>
      </w:pPr>
      <w:r>
        <w:rPr>
          <w:rFonts w:hint="eastAsia" w:ascii="宋体" w:hAnsi="宋体" w:eastAsia="宋体" w:cs="宋体"/>
          <w:b/>
          <w:kern w:val="0"/>
          <w:sz w:val="30"/>
          <w:szCs w:val="30"/>
        </w:rPr>
        <w:t>四、奖项设置</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 xml:space="preserve">设一等奖、二等奖、三等奖 </w:t>
      </w:r>
    </w:p>
    <w:p>
      <w:pPr>
        <w:snapToGrid w:val="0"/>
        <w:spacing w:line="560" w:lineRule="exact"/>
        <w:ind w:firstLine="602" w:firstLineChars="200"/>
        <w:jc w:val="left"/>
        <w:outlineLvl w:val="1"/>
        <w:rPr>
          <w:rFonts w:hint="eastAsia" w:ascii="宋体" w:hAnsi="宋体" w:eastAsia="宋体" w:cs="宋体"/>
          <w:b/>
          <w:kern w:val="0"/>
          <w:sz w:val="30"/>
          <w:szCs w:val="30"/>
        </w:rPr>
      </w:pPr>
      <w:r>
        <w:rPr>
          <w:rFonts w:hint="eastAsia" w:ascii="宋体" w:hAnsi="宋体" w:eastAsia="宋体" w:cs="宋体"/>
          <w:b/>
          <w:kern w:val="0"/>
          <w:sz w:val="30"/>
          <w:szCs w:val="30"/>
        </w:rPr>
        <w:t>五、技术规范</w:t>
      </w:r>
    </w:p>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（一）理论部分</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物流基础理论知识考试及叉车知识的参考教材为《物流师职业资格认证培训系列教材-仓储与配送实务》和《叉车工培训》各参赛单位人员可以据此进行学习和练习</w:t>
      </w:r>
    </w:p>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（二）行业、职业技术标准</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本赛项的设计和执行遵照以下标准：</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《物流中心作业通用规范 GB/T 22126-2008》</w:t>
      </w:r>
    </w:p>
    <w:p>
      <w:pPr>
        <w:snapToGrid w:val="0"/>
        <w:spacing w:line="560" w:lineRule="exact"/>
        <w:ind w:firstLine="600" w:firstLineChars="200"/>
        <w:jc w:val="left"/>
        <w:rPr>
          <w:rFonts w:hint="eastAsia" w:ascii="宋体" w:hAnsi="宋体" w:eastAsia="宋体" w:cs="宋体"/>
          <w:kern w:val="0"/>
          <w:sz w:val="30"/>
          <w:szCs w:val="30"/>
        </w:rPr>
      </w:pPr>
      <w:r>
        <w:rPr>
          <w:rFonts w:hint="eastAsia" w:ascii="宋体" w:hAnsi="宋体" w:eastAsia="宋体" w:cs="宋体"/>
          <w:kern w:val="0"/>
          <w:sz w:val="30"/>
          <w:szCs w:val="30"/>
        </w:rPr>
        <w:t>《物流术语 GB/T 18354-2006》</w:t>
      </w:r>
    </w:p>
    <w:p>
      <w:pPr>
        <w:snapToGrid w:val="0"/>
        <w:spacing w:line="560" w:lineRule="exact"/>
        <w:ind w:firstLine="602" w:firstLineChars="200"/>
        <w:jc w:val="left"/>
        <w:outlineLvl w:val="1"/>
        <w:rPr>
          <w:rFonts w:hint="eastAsia" w:ascii="宋体" w:hAnsi="宋体" w:eastAsia="宋体" w:cs="宋体"/>
          <w:b/>
          <w:kern w:val="0"/>
          <w:sz w:val="30"/>
          <w:szCs w:val="30"/>
        </w:rPr>
      </w:pPr>
      <w:r>
        <w:rPr>
          <w:rFonts w:hint="eastAsia" w:ascii="宋体" w:hAnsi="宋体" w:eastAsia="宋体" w:cs="宋体"/>
          <w:b/>
          <w:kern w:val="0"/>
          <w:sz w:val="30"/>
          <w:szCs w:val="30"/>
        </w:rPr>
        <w:t>六、建议使用的比赛器材、技术平台和场地要求</w:t>
      </w:r>
    </w:p>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（一）物流基础理论知识考试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4871"/>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980" w:type="dxa"/>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名称</w:t>
            </w:r>
          </w:p>
        </w:tc>
        <w:tc>
          <w:tcPr>
            <w:tcW w:w="4871" w:type="dxa"/>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规格要求</w:t>
            </w:r>
          </w:p>
        </w:tc>
        <w:tc>
          <w:tcPr>
            <w:tcW w:w="1069" w:type="dxa"/>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980"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物流基础理论知识考核系统</w:t>
            </w:r>
          </w:p>
        </w:tc>
        <w:tc>
          <w:tcPr>
            <w:tcW w:w="4871"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叉车技术和基础物流知识</w:t>
            </w:r>
          </w:p>
        </w:tc>
        <w:tc>
          <w:tcPr>
            <w:tcW w:w="1069"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1套</w:t>
            </w:r>
          </w:p>
        </w:tc>
      </w:tr>
    </w:tbl>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（二）叉车技能单项赛</w:t>
      </w:r>
    </w:p>
    <w:tbl>
      <w:tblPr>
        <w:tblStyle w:val="7"/>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4961"/>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843" w:type="dxa"/>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名称</w:t>
            </w:r>
          </w:p>
        </w:tc>
        <w:tc>
          <w:tcPr>
            <w:tcW w:w="4961" w:type="dxa"/>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规格要求</w:t>
            </w:r>
          </w:p>
        </w:tc>
        <w:tc>
          <w:tcPr>
            <w:tcW w:w="992" w:type="dxa"/>
            <w:noWrap w:val="0"/>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843"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电瓶式叉车</w:t>
            </w:r>
          </w:p>
        </w:tc>
        <w:tc>
          <w:tcPr>
            <w:tcW w:w="4961" w:type="dxa"/>
            <w:noWrap w:val="0"/>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额定起升重量：1600kg；</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载荷中心距：500mm；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最大起升高度：3000mm；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自由起升高度：150mm；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货叉尺寸：920×125×35；</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整车长度：（含货叉）3033mm、（不含货叉）2113mm；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车架宽度：1080mm；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门架不起升高度：2070mm；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护顶架高度：2135mm；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车架处最小离地间隙：110mm；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前悬距：425mm；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轴距：1370mm；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前轮距：890mm；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后轮距：920mm；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门架前倾角：6.0°±0.5°；</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门架后倾角：12.0°±0.5°；</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最小转弯半径：1950mm；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最小直角堆垛通道宽度：3700mm；</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最大起升速度：满载260mm/s、空载420mm/s；</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最大下降速度：满载≤600mm/s；</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最大行驶速度（满载/空载）：12km/h/14km/h；</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最大爬坡能力（满载/空载）：10%/12%；</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整机重量：3900kg；</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轮胎型号：前轮6.50-10、后轮5.00-8；</w:t>
            </w:r>
          </w:p>
          <w:p>
            <w:pPr>
              <w:jc w:val="left"/>
              <w:rPr>
                <w:rFonts w:hint="eastAsia" w:ascii="宋体" w:hAnsi="宋体" w:eastAsia="宋体" w:cs="宋体"/>
                <w:kern w:val="0"/>
                <w:sz w:val="24"/>
                <w:szCs w:val="24"/>
              </w:rPr>
            </w:pPr>
            <w:r>
              <w:rPr>
                <w:rFonts w:hint="eastAsia" w:ascii="宋体" w:hAnsi="宋体" w:eastAsia="宋体" w:cs="宋体"/>
                <w:kern w:val="0"/>
                <w:sz w:val="24"/>
                <w:szCs w:val="24"/>
              </w:rPr>
              <w:t>蓄电池容量：460/48(AH/V)</w:t>
            </w:r>
          </w:p>
        </w:tc>
        <w:tc>
          <w:tcPr>
            <w:tcW w:w="992"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43"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托盘</w:t>
            </w:r>
          </w:p>
        </w:tc>
        <w:tc>
          <w:tcPr>
            <w:tcW w:w="4961" w:type="dxa"/>
            <w:noWrap w:val="0"/>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标准1200mm*1000mm单面川字底木制托盘</w:t>
            </w:r>
          </w:p>
        </w:tc>
        <w:tc>
          <w:tcPr>
            <w:tcW w:w="992"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若干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43"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纸箱</w:t>
            </w:r>
          </w:p>
        </w:tc>
        <w:tc>
          <w:tcPr>
            <w:tcW w:w="4961" w:type="dxa"/>
            <w:noWrap w:val="0"/>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外径：190mm*370mm*270mm</w:t>
            </w:r>
          </w:p>
        </w:tc>
        <w:tc>
          <w:tcPr>
            <w:tcW w:w="992"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若干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43"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钢管</w:t>
            </w:r>
          </w:p>
        </w:tc>
        <w:tc>
          <w:tcPr>
            <w:tcW w:w="4961" w:type="dxa"/>
            <w:noWrap w:val="0"/>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外径5cm，壁厚3.5mm，高14cm</w:t>
            </w:r>
          </w:p>
        </w:tc>
        <w:tc>
          <w:tcPr>
            <w:tcW w:w="992"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43"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绕杆</w:t>
            </w:r>
          </w:p>
        </w:tc>
        <w:tc>
          <w:tcPr>
            <w:tcW w:w="4961" w:type="dxa"/>
            <w:noWrap w:val="0"/>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钢管直径2.5cm，底座直径10cm，杆高150cm</w:t>
            </w:r>
          </w:p>
        </w:tc>
        <w:tc>
          <w:tcPr>
            <w:tcW w:w="992"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43"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线边标志</w:t>
            </w:r>
          </w:p>
        </w:tc>
        <w:tc>
          <w:tcPr>
            <w:tcW w:w="4961" w:type="dxa"/>
            <w:noWrap w:val="0"/>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以普通矿泉水瓶</w:t>
            </w:r>
          </w:p>
        </w:tc>
        <w:tc>
          <w:tcPr>
            <w:tcW w:w="992"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r>
    </w:tbl>
    <w:p>
      <w:pPr>
        <w:snapToGrid w:val="0"/>
        <w:spacing w:line="560" w:lineRule="exact"/>
        <w:ind w:firstLine="602" w:firstLineChars="200"/>
        <w:jc w:val="left"/>
        <w:outlineLvl w:val="2"/>
        <w:rPr>
          <w:rFonts w:hint="eastAsia" w:ascii="宋体" w:hAnsi="宋体" w:eastAsia="宋体" w:cs="宋体"/>
          <w:b/>
          <w:bCs/>
          <w:kern w:val="0"/>
          <w:sz w:val="30"/>
          <w:szCs w:val="30"/>
        </w:rPr>
      </w:pPr>
      <w:r>
        <w:rPr>
          <w:rFonts w:hint="eastAsia" w:ascii="宋体" w:hAnsi="宋体" w:eastAsia="宋体" w:cs="宋体"/>
          <w:b/>
          <w:bCs/>
          <w:kern w:val="0"/>
          <w:sz w:val="30"/>
          <w:szCs w:val="30"/>
        </w:rPr>
        <w:t>（三）场地和环境</w:t>
      </w:r>
    </w:p>
    <w:p>
      <w:pPr>
        <w:snapToGrid w:val="0"/>
        <w:spacing w:line="560" w:lineRule="exact"/>
        <w:ind w:firstLine="602" w:firstLineChars="200"/>
        <w:jc w:val="left"/>
        <w:outlineLvl w:val="2"/>
        <w:rPr>
          <w:rFonts w:hint="eastAsia" w:ascii="宋体" w:hAnsi="宋体" w:eastAsia="宋体" w:cs="宋体"/>
          <w:b/>
          <w:bCs/>
          <w:kern w:val="0"/>
          <w:sz w:val="30"/>
          <w:szCs w:val="30"/>
          <w:lang w:val="en-US" w:eastAsia="zh-CN"/>
        </w:rPr>
      </w:pPr>
      <w:r>
        <w:rPr>
          <w:rFonts w:hint="eastAsia" w:ascii="宋体" w:hAnsi="宋体" w:eastAsia="宋体" w:cs="宋体"/>
          <w:b/>
          <w:bCs/>
          <w:kern w:val="0"/>
          <w:sz w:val="30"/>
          <w:szCs w:val="30"/>
        </w:rPr>
        <w:t>场地（室外为宜）31-33米长，宽18.5米</w:t>
      </w:r>
      <w:r>
        <w:rPr>
          <w:rFonts w:hint="eastAsia" w:ascii="宋体" w:hAnsi="宋体" w:eastAsia="宋体" w:cs="宋体"/>
          <w:b/>
          <w:bCs/>
          <w:kern w:val="0"/>
          <w:sz w:val="30"/>
          <w:szCs w:val="30"/>
          <w:lang w:eastAsia="zh-CN"/>
        </w:rPr>
        <w:t>，本图为参考图，具体比赛时会做部分修改，赛前</w:t>
      </w:r>
      <w:r>
        <w:rPr>
          <w:rFonts w:hint="eastAsia" w:ascii="宋体" w:hAnsi="宋体" w:eastAsia="宋体" w:cs="宋体"/>
          <w:b/>
          <w:bCs/>
          <w:kern w:val="0"/>
          <w:sz w:val="30"/>
          <w:szCs w:val="30"/>
          <w:lang w:val="en-US" w:eastAsia="zh-CN"/>
        </w:rPr>
        <w:t>7天内会更新场地布置图，以及赛事说明。</w:t>
      </w:r>
    </w:p>
    <w:p>
      <w:pPr>
        <w:jc w:val="center"/>
        <w:rPr>
          <w:rFonts w:hint="eastAsia"/>
        </w:rPr>
      </w:pPr>
      <w:r>
        <w:drawing>
          <wp:inline distT="0" distB="0" distL="114300" distR="114300">
            <wp:extent cx="4982845" cy="8115300"/>
            <wp:effectExtent l="0" t="0" r="635" b="7620"/>
            <wp:docPr id="1" name="图片 2" descr="说明: 中职组场地：叉车单项赛（单色版）v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说明: 中职组场地：叉车单项赛（单色版）v5"/>
                    <pic:cNvPicPr>
                      <a:picLocks noChangeAspect="1"/>
                    </pic:cNvPicPr>
                  </pic:nvPicPr>
                  <pic:blipFill>
                    <a:blip r:embed="rId5"/>
                    <a:srcRect l="15488"/>
                    <a:stretch>
                      <a:fillRect/>
                    </a:stretch>
                  </pic:blipFill>
                  <pic:spPr>
                    <a:xfrm>
                      <a:off x="0" y="0"/>
                      <a:ext cx="4982845" cy="8115300"/>
                    </a:xfrm>
                    <a:prstGeom prst="rect">
                      <a:avLst/>
                    </a:prstGeom>
                    <a:noFill/>
                    <a:ln>
                      <a:noFill/>
                    </a:ln>
                  </pic:spPr>
                </pic:pic>
              </a:graphicData>
            </a:graphic>
          </wp:inline>
        </w:drawing>
      </w:r>
    </w:p>
    <w:p>
      <w:pPr>
        <w:jc w:val="center"/>
        <w:rPr>
          <w:rFonts w:hint="eastAsia"/>
        </w:rPr>
      </w:pPr>
    </w:p>
    <w:p>
      <w:pPr>
        <w:jc w:val="center"/>
        <w:rPr>
          <w:rFonts w:hint="eastAsia"/>
        </w:rPr>
      </w:pPr>
    </w:p>
    <w:p>
      <w:pPr>
        <w:jc w:val="center"/>
        <w:rPr>
          <w:rFonts w:hint="eastAsia"/>
        </w:rPr>
      </w:pPr>
    </w:p>
    <w:p>
      <w:pPr>
        <w:snapToGrid w:val="0"/>
        <w:spacing w:line="560" w:lineRule="exact"/>
        <w:ind w:firstLine="602" w:firstLineChars="200"/>
        <w:jc w:val="left"/>
        <w:outlineLvl w:val="2"/>
        <w:rPr>
          <w:rFonts w:hint="eastAsia" w:ascii="仿宋_GB2312" w:hAnsi="宋体" w:eastAsia="仿宋_GB2312" w:cs="Arial"/>
          <w:b/>
          <w:bCs/>
          <w:kern w:val="0"/>
          <w:sz w:val="30"/>
          <w:szCs w:val="30"/>
        </w:rPr>
      </w:pPr>
      <w:r>
        <w:rPr>
          <w:rFonts w:hint="eastAsia" w:ascii="仿宋_GB2312" w:hAnsi="宋体" w:eastAsia="仿宋_GB2312" w:cs="Arial"/>
          <w:b/>
          <w:bCs/>
          <w:kern w:val="0"/>
          <w:sz w:val="30"/>
          <w:szCs w:val="30"/>
        </w:rPr>
        <w:t>（二）裁判组成员</w:t>
      </w:r>
    </w:p>
    <w:p>
      <w:pPr>
        <w:snapToGrid w:val="0"/>
        <w:spacing w:line="560" w:lineRule="exact"/>
        <w:ind w:firstLine="600" w:firstLineChars="200"/>
        <w:jc w:val="left"/>
        <w:rPr>
          <w:rFonts w:hint="eastAsia" w:ascii="仿宋_GB2312" w:hAnsi="宋体" w:eastAsia="仿宋_GB2312" w:cs="Arial"/>
          <w:kern w:val="0"/>
          <w:sz w:val="30"/>
          <w:szCs w:val="30"/>
        </w:rPr>
      </w:pPr>
      <w:r>
        <w:rPr>
          <w:rFonts w:hint="eastAsia" w:ascii="仿宋_GB2312" w:hAnsi="宋体" w:eastAsia="仿宋_GB2312" w:cs="Arial"/>
          <w:kern w:val="0"/>
          <w:sz w:val="30"/>
          <w:szCs w:val="30"/>
        </w:rPr>
        <w:t>选派6名专家担任叉车比赛裁判，统分员2名，复位工作人员4名，计12人。</w:t>
      </w:r>
    </w:p>
    <w:p>
      <w:pPr>
        <w:snapToGrid w:val="0"/>
        <w:spacing w:line="560" w:lineRule="exact"/>
        <w:ind w:firstLine="602" w:firstLineChars="200"/>
        <w:jc w:val="left"/>
        <w:outlineLvl w:val="1"/>
        <w:rPr>
          <w:rFonts w:ascii="仿宋_GB2312" w:hAnsi="宋体" w:eastAsia="仿宋_GB2312" w:cs="Arial"/>
          <w:b/>
          <w:kern w:val="0"/>
          <w:sz w:val="30"/>
          <w:szCs w:val="30"/>
        </w:rPr>
      </w:pPr>
      <w:r>
        <w:rPr>
          <w:rFonts w:hint="eastAsia" w:ascii="仿宋_GB2312" w:hAnsi="宋体" w:eastAsia="仿宋_GB2312" w:cs="Arial"/>
          <w:b/>
          <w:kern w:val="0"/>
          <w:sz w:val="30"/>
          <w:szCs w:val="30"/>
        </w:rPr>
        <w:t>二十一、其他</w:t>
      </w:r>
    </w:p>
    <w:p>
      <w:pPr>
        <w:pStyle w:val="6"/>
        <w:spacing w:before="0" w:beforeAutospacing="0" w:after="0" w:afterAutospacing="0" w:line="560" w:lineRule="exact"/>
        <w:ind w:firstLine="587" w:firstLineChars="195"/>
        <w:outlineLvl w:val="2"/>
        <w:rPr>
          <w:rFonts w:hint="eastAsia" w:ascii="仿宋_GB2312" w:hAnsi="Times New Roman" w:eastAsia="仿宋_GB2312"/>
          <w:b/>
          <w:sz w:val="30"/>
          <w:szCs w:val="30"/>
        </w:rPr>
      </w:pPr>
      <w:r>
        <w:rPr>
          <w:rFonts w:hint="eastAsia" w:ascii="仿宋_GB2312" w:hAnsi="Times New Roman" w:eastAsia="仿宋_GB2312"/>
          <w:b/>
          <w:sz w:val="30"/>
          <w:szCs w:val="30"/>
        </w:rPr>
        <w:t>（一）竞赛内容与规则补充</w:t>
      </w:r>
    </w:p>
    <w:p>
      <w:pPr>
        <w:snapToGrid w:val="0"/>
        <w:spacing w:line="560" w:lineRule="exact"/>
        <w:ind w:firstLine="600" w:firstLineChars="200"/>
        <w:jc w:val="left"/>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所有参赛选手必须参加物流基础理论及叉车操作，比赛成绩由物流基础理论知识考试成绩和叉车技能单项赛成绩两部分组成。</w:t>
      </w:r>
    </w:p>
    <w:p>
      <w:pPr>
        <w:spacing w:line="560" w:lineRule="exact"/>
        <w:ind w:firstLine="600" w:firstLineChars="200"/>
        <w:outlineLvl w:val="2"/>
        <w:rPr>
          <w:rFonts w:hint="eastAsia" w:ascii="仿宋_GB2312" w:hAnsi="宋体" w:eastAsia="仿宋_GB2312" w:cs="Arial"/>
          <w:kern w:val="0"/>
          <w:sz w:val="30"/>
          <w:szCs w:val="30"/>
        </w:rPr>
      </w:pPr>
      <w:r>
        <w:rPr>
          <w:rFonts w:hint="eastAsia" w:ascii="仿宋_GB2312" w:hAnsi="宋体" w:eastAsia="仿宋_GB2312" w:cs="Arial"/>
          <w:kern w:val="0"/>
          <w:sz w:val="30"/>
          <w:szCs w:val="30"/>
        </w:rPr>
        <w:t>1．物流基础理论知识考试</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 xml:space="preserve">（1）内容 </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物流基础理论知识考涵盖物流基础知识和叉车维护与管理。</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（2）题目类型</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物流基础理论知识考试试题题型分为判断题、单选题、多选题。</w:t>
      </w:r>
    </w:p>
    <w:p>
      <w:pPr>
        <w:spacing w:line="560" w:lineRule="exact"/>
        <w:ind w:firstLine="600" w:firstLineChars="200"/>
        <w:outlineLvl w:val="2"/>
        <w:rPr>
          <w:rFonts w:hint="eastAsia" w:ascii="仿宋_GB2312" w:hAnsi="宋体" w:eastAsia="仿宋_GB2312" w:cs="Arial"/>
          <w:kern w:val="0"/>
          <w:sz w:val="30"/>
          <w:szCs w:val="30"/>
        </w:rPr>
      </w:pPr>
      <w:r>
        <w:rPr>
          <w:rFonts w:hint="eastAsia" w:ascii="仿宋_GB2312" w:hAnsi="宋体" w:eastAsia="仿宋_GB2312" w:cs="Arial"/>
          <w:kern w:val="0"/>
          <w:sz w:val="30"/>
          <w:szCs w:val="30"/>
        </w:rPr>
        <w:t>2．叉车技能单项赛</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（1）比赛内容</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参赛选手根据比赛规定的线路完成各项操作，主要操作内容包括：起步准备、叉运货品、带货绕桩、货品上架、货品移库、托盘码垛、入库停车等。</w:t>
      </w:r>
    </w:p>
    <w:p>
      <w:pPr>
        <w:spacing w:line="560" w:lineRule="exact"/>
        <w:ind w:firstLine="600" w:firstLineChars="200"/>
        <w:rPr>
          <w:rFonts w:hint="eastAsia" w:ascii="仿宋_GB2312" w:hAnsi="宋体" w:eastAsia="仿宋_GB2312" w:cs="Arial"/>
          <w:bCs/>
          <w:kern w:val="0"/>
          <w:sz w:val="30"/>
          <w:szCs w:val="30"/>
          <w:lang w:eastAsia="zh-CN"/>
        </w:rPr>
      </w:pPr>
      <w:r>
        <w:rPr>
          <w:rFonts w:hint="eastAsia" w:ascii="仿宋_GB2312" w:hAnsi="宋体" w:eastAsia="仿宋_GB2312" w:cs="Arial"/>
          <w:bCs/>
          <w:kern w:val="0"/>
          <w:sz w:val="30"/>
          <w:szCs w:val="30"/>
        </w:rPr>
        <w:t>（2）操作流程</w:t>
      </w:r>
      <w:r>
        <w:rPr>
          <w:rFonts w:hint="eastAsia" w:ascii="仿宋_GB2312" w:hAnsi="宋体" w:eastAsia="仿宋_GB2312" w:cs="Arial"/>
          <w:bCs/>
          <w:kern w:val="0"/>
          <w:sz w:val="30"/>
          <w:szCs w:val="30"/>
          <w:lang w:eastAsia="zh-CN"/>
        </w:rPr>
        <w:t>（</w:t>
      </w:r>
      <w:r>
        <w:rPr>
          <w:rFonts w:hint="eastAsia" w:ascii="仿宋_GB2312" w:hAnsi="宋体" w:eastAsia="仿宋_GB2312" w:cs="Arial"/>
          <w:b/>
          <w:bCs w:val="0"/>
          <w:kern w:val="0"/>
          <w:sz w:val="30"/>
          <w:szCs w:val="30"/>
          <w:lang w:eastAsia="zh-CN"/>
        </w:rPr>
        <w:t>以下流程会依据赛场布置图修改而修订，仅做参考，有更新会提前</w:t>
      </w:r>
      <w:r>
        <w:rPr>
          <w:rFonts w:hint="eastAsia" w:ascii="仿宋_GB2312" w:hAnsi="宋体" w:eastAsia="仿宋_GB2312" w:cs="Arial"/>
          <w:b/>
          <w:bCs w:val="0"/>
          <w:kern w:val="0"/>
          <w:sz w:val="30"/>
          <w:szCs w:val="30"/>
          <w:lang w:val="en-US" w:eastAsia="zh-CN"/>
        </w:rPr>
        <w:t>7天发布说明</w:t>
      </w:r>
      <w:r>
        <w:rPr>
          <w:rFonts w:hint="eastAsia" w:ascii="仿宋_GB2312" w:hAnsi="宋体" w:eastAsia="仿宋_GB2312" w:cs="Arial"/>
          <w:bCs/>
          <w:kern w:val="0"/>
          <w:sz w:val="30"/>
          <w:szCs w:val="30"/>
          <w:lang w:eastAsia="zh-CN"/>
        </w:rPr>
        <w:t>）</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参赛选手进场后必须绕车对叉车门架和前后轮胎进行检查，登车后对仪表进行检查，准备就绪后，举手向裁判长报告“检查正常，请求比赛”，裁判长鸣哨、举旗示意后比赛开始。</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鸣笛、起步，将叉车从车库&lt;1&gt;驶出，沿通道驶向托盘存放区&lt;2&gt;；将一托盘货品叉起，沿路线进入绕桩区&lt;3&gt;。</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按规定的路线正向通过绕桩区&lt;3&gt;的6个柱后，进入托盘货架区&lt;4&gt;，将托盘放到货位A3上。</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将货位D2的托盘取下，移至货位B1上。</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从托盘存放区&lt;5&gt;，叉取托盘1后（托盘四角上分别放置一个钢管），载货通过窄通道区&lt;6&gt;，正向通过窄通道进入车向调整区&lt;7&gt;，在车向调整区&lt;7&gt;调整车向后，倒车通过约束区&lt;8&gt;，将托盘放置托盘存放区&lt;10&gt;。</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参赛选手回到托盘存放区&lt;9&gt;，将托盘2至托盘8（托盘2至托盘8的四角上分别放置一个钢管）按顺序转移放置到托盘存放区&lt;10&gt;的托盘上，在比赛限定时间内，放置的数量越多，得分越高。</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在规定时间内完成全部操作后，选手调整方向倒行回到车库&lt;1&gt;；叉车停稳下车后，举手报告操作完毕，裁判长鸣哨计时终止，比赛结束。</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（3）关于叉车的说明</w:t>
      </w:r>
    </w:p>
    <w:p>
      <w:pPr>
        <w:spacing w:line="560" w:lineRule="exact"/>
        <w:ind w:firstLine="600" w:firstLineChars="200"/>
        <w:rPr>
          <w:rFonts w:hint="eastAsia" w:ascii="仿宋_GB2312" w:hAnsi="宋体" w:eastAsia="仿宋_GB2312" w:cs="Arial"/>
          <w:bCs/>
          <w:kern w:val="0"/>
          <w:sz w:val="30"/>
          <w:szCs w:val="30"/>
        </w:rPr>
      </w:pPr>
      <w:r>
        <w:rPr>
          <w:rFonts w:hint="eastAsia" w:ascii="仿宋_GB2312" w:hAnsi="宋体" w:eastAsia="仿宋_GB2312" w:cs="Arial"/>
          <w:bCs/>
          <w:kern w:val="0"/>
          <w:sz w:val="30"/>
          <w:szCs w:val="30"/>
        </w:rPr>
        <w:t>比赛时，叉车胎压为0.7Mpa，叉齿（内）间距为32cm。</w:t>
      </w:r>
    </w:p>
    <w:sectPr>
      <w:footerReference r:id="rId3"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7</w:t>
    </w:r>
    <w:r>
      <w:rPr>
        <w:sz w:val="21"/>
        <w:szCs w:val="21"/>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iMDdmYTQ0ZTk4ZDcyYzI5ZDVmMGYyMGZkODdmMzkifQ=="/>
  </w:docVars>
  <w:rsids>
    <w:rsidRoot w:val="00172A27"/>
    <w:rsid w:val="00036EC0"/>
    <w:rsid w:val="00045971"/>
    <w:rsid w:val="000B7053"/>
    <w:rsid w:val="00105807"/>
    <w:rsid w:val="00113503"/>
    <w:rsid w:val="001609C0"/>
    <w:rsid w:val="00161225"/>
    <w:rsid w:val="00161CA4"/>
    <w:rsid w:val="00173633"/>
    <w:rsid w:val="00237F03"/>
    <w:rsid w:val="002B7F1A"/>
    <w:rsid w:val="002C027F"/>
    <w:rsid w:val="00365774"/>
    <w:rsid w:val="003A45CB"/>
    <w:rsid w:val="003A78D3"/>
    <w:rsid w:val="0041497A"/>
    <w:rsid w:val="00431B87"/>
    <w:rsid w:val="004D1AD8"/>
    <w:rsid w:val="004F08C2"/>
    <w:rsid w:val="005154EF"/>
    <w:rsid w:val="005254CE"/>
    <w:rsid w:val="00536CB0"/>
    <w:rsid w:val="005B1918"/>
    <w:rsid w:val="006100A4"/>
    <w:rsid w:val="006319CF"/>
    <w:rsid w:val="0064199E"/>
    <w:rsid w:val="006478DB"/>
    <w:rsid w:val="006C025F"/>
    <w:rsid w:val="006D5B33"/>
    <w:rsid w:val="00711F82"/>
    <w:rsid w:val="00725663"/>
    <w:rsid w:val="00734C62"/>
    <w:rsid w:val="00755D5C"/>
    <w:rsid w:val="007B2012"/>
    <w:rsid w:val="00813225"/>
    <w:rsid w:val="00834521"/>
    <w:rsid w:val="008874D3"/>
    <w:rsid w:val="00922EEB"/>
    <w:rsid w:val="009D3BFA"/>
    <w:rsid w:val="00A55281"/>
    <w:rsid w:val="00BD0FF6"/>
    <w:rsid w:val="00C42835"/>
    <w:rsid w:val="00C4799D"/>
    <w:rsid w:val="00C5342C"/>
    <w:rsid w:val="00CA6942"/>
    <w:rsid w:val="00D01DF1"/>
    <w:rsid w:val="00D65AC7"/>
    <w:rsid w:val="00E12E34"/>
    <w:rsid w:val="00E61907"/>
    <w:rsid w:val="00E76B09"/>
    <w:rsid w:val="00EB0E62"/>
    <w:rsid w:val="00F451DA"/>
    <w:rsid w:val="00FA4B5B"/>
    <w:rsid w:val="00FC5AC5"/>
    <w:rsid w:val="029278DB"/>
    <w:rsid w:val="02A866F4"/>
    <w:rsid w:val="052865C9"/>
    <w:rsid w:val="124C2147"/>
    <w:rsid w:val="22E22A19"/>
    <w:rsid w:val="27A209C9"/>
    <w:rsid w:val="341373AE"/>
    <w:rsid w:val="6D5C25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unhideWhenUsed/>
    <w:uiPriority w:val="0"/>
  </w:style>
  <w:style w:type="table" w:default="1" w:styleId="7">
    <w:name w:val="Normal Table"/>
    <w:unhideWhenUsed/>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0"/>
    <w:pPr>
      <w:widowControl/>
      <w:spacing w:before="100" w:beforeLines="0" w:beforeAutospacing="1" w:after="100" w:afterLines="0" w:afterAutospacing="1"/>
      <w:jc w:val="left"/>
    </w:pPr>
    <w:rPr>
      <w:rFonts w:ascii="宋体" w:hAnsi="宋体" w:cs="宋体"/>
      <w:kern w:val="0"/>
      <w:sz w:val="24"/>
      <w:szCs w:val="24"/>
    </w:rPr>
  </w:style>
  <w:style w:type="character" w:styleId="9">
    <w:name w:val="page number"/>
    <w:unhideWhenUsed/>
    <w:uiPriority w:val="99"/>
    <w:rPr>
      <w:rFonts w:cs="Times New Roman"/>
    </w:rPr>
  </w:style>
  <w:style w:type="character" w:customStyle="1" w:styleId="10">
    <w:name w:val="批注框文本 Char"/>
    <w:link w:val="3"/>
    <w:semiHidden/>
    <w:uiPriority w:val="99"/>
    <w:rPr>
      <w:kern w:val="2"/>
      <w:sz w:val="18"/>
      <w:szCs w:val="18"/>
    </w:rPr>
  </w:style>
  <w:style w:type="character" w:customStyle="1" w:styleId="11">
    <w:name w:val="页脚 Char"/>
    <w:link w:val="4"/>
    <w:uiPriority w:val="99"/>
    <w:rPr>
      <w:kern w:val="2"/>
      <w:sz w:val="18"/>
      <w:szCs w:val="18"/>
    </w:rPr>
  </w:style>
  <w:style w:type="character" w:customStyle="1" w:styleId="12">
    <w:name w:val="页眉 Char"/>
    <w:link w:val="5"/>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3647</Words>
  <Characters>4033</Characters>
  <Lines>31</Lines>
  <Paragraphs>8</Paragraphs>
  <TotalTime>12</TotalTime>
  <ScaleCrop>false</ScaleCrop>
  <LinksUpToDate>false</LinksUpToDate>
  <CharactersWithSpaces>4169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2021-04-11T13:35:00Z</dcterms:created>
  <dc:creator>邓先</dc:creator>
  <cp:lastModifiedBy>Administrator</cp:lastModifiedBy>
  <cp:lastPrinted>2014-08-28T03:33:00Z</cp:lastPrinted>
  <dcterms:modified xsi:type="dcterms:W3CDTF">2022-08-16T08:25:09Z</dcterms:modified>
  <dc:title>2015年全国职业院校技能大赛</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B6D6CF34CA4D40C295B315FAF4C57948</vt:lpwstr>
  </property>
</Properties>
</file>