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6" w:lineRule="atLeast"/>
        <w:ind w:left="0" w:right="0" w:firstLine="880"/>
        <w:jc w:val="center"/>
      </w:pPr>
      <w:r>
        <w:rPr>
          <w:rFonts w:ascii="方正小标宋_GBK" w:hAnsi="方正小标宋_GBK" w:eastAsia="方正小标宋_GBK" w:cs="方正小标宋_GBK"/>
          <w:color w:val="333333"/>
          <w:sz w:val="44"/>
          <w:szCs w:val="44"/>
          <w:bdr w:val="none" w:color="auto" w:sz="0" w:space="0"/>
        </w:rPr>
        <w:t>安徽省运输结构调整指标表</w:t>
      </w:r>
      <w:r>
        <w:rPr>
          <w:rFonts w:hint="eastAsia" w:ascii="宋体" w:hAnsi="宋体" w:eastAsia="宋体" w:cs="宋体"/>
          <w:color w:val="333333"/>
          <w:sz w:val="19"/>
          <w:szCs w:val="19"/>
          <w:bdr w:val="none" w:color="auto" w:sz="0" w:space="0"/>
        </w:rPr>
        <w:t xml:space="preserve"> </w:t>
      </w:r>
    </w:p>
    <w:tbl>
      <w:tblPr>
        <w:tblW w:w="8326" w:type="dxa"/>
        <w:jc w:val="center"/>
        <w:tblInd w:w="-10" w:type="dxa"/>
        <w:shd w:val="clear"/>
        <w:tblLayout w:type="fixed"/>
        <w:tblCellMar>
          <w:top w:w="0" w:type="dxa"/>
          <w:left w:w="0" w:type="dxa"/>
          <w:bottom w:w="0" w:type="dxa"/>
          <w:right w:w="0" w:type="dxa"/>
        </w:tblCellMar>
      </w:tblPr>
      <w:tblGrid>
        <w:gridCol w:w="671"/>
        <w:gridCol w:w="1662"/>
        <w:gridCol w:w="589"/>
        <w:gridCol w:w="2572"/>
        <w:gridCol w:w="973"/>
        <w:gridCol w:w="1859"/>
      </w:tblGrid>
      <w:tr>
        <w:tblPrEx>
          <w:shd w:val="clear"/>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ascii="方正黑体_GBK" w:hAnsi="方正黑体_GBK" w:eastAsia="方正黑体_GBK" w:cs="方正黑体_GBK"/>
                <w:color w:val="333333"/>
                <w:kern w:val="0"/>
                <w:sz w:val="24"/>
                <w:szCs w:val="24"/>
                <w:bdr w:val="none" w:color="auto" w:sz="0" w:space="0"/>
                <w:lang w:val="en-US" w:eastAsia="zh-CN" w:bidi="ar"/>
              </w:rPr>
              <w:t>序号</w:t>
            </w:r>
            <w:r>
              <w:rPr>
                <w:rFonts w:hint="eastAsia" w:ascii="宋体" w:hAnsi="宋体" w:eastAsia="宋体" w:cs="宋体"/>
                <w:color w:val="333333"/>
                <w:kern w:val="0"/>
                <w:sz w:val="24"/>
                <w:szCs w:val="24"/>
                <w:bdr w:val="none" w:color="auto" w:sz="0" w:space="0"/>
                <w:lang w:val="en-US" w:eastAsia="zh-CN" w:bidi="ar"/>
              </w:rPr>
              <w:t xml:space="preserve"> </w:t>
            </w:r>
          </w:p>
        </w:tc>
        <w:tc>
          <w:tcPr>
            <w:tcW w:w="4823"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指  标</w:t>
            </w:r>
            <w:r>
              <w:rPr>
                <w:rFonts w:hint="eastAsia" w:ascii="宋体" w:hAnsi="宋体" w:eastAsia="宋体" w:cs="宋体"/>
                <w:color w:val="333333"/>
                <w:kern w:val="0"/>
                <w:sz w:val="24"/>
                <w:szCs w:val="24"/>
                <w:bdr w:val="none" w:color="auto" w:sz="0" w:space="0"/>
                <w:lang w:val="en-US" w:eastAsia="zh-CN" w:bidi="ar"/>
              </w:rPr>
              <w:t xml:space="preserve">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单位</w:t>
            </w:r>
            <w:r>
              <w:rPr>
                <w:rFonts w:hint="eastAsia" w:ascii="宋体" w:hAnsi="宋体" w:eastAsia="宋体" w:cs="宋体"/>
                <w:color w:val="333333"/>
                <w:kern w:val="0"/>
                <w:sz w:val="24"/>
                <w:szCs w:val="24"/>
                <w:bdr w:val="none" w:color="auto" w:sz="0" w:space="0"/>
                <w:lang w:val="en-US" w:eastAsia="zh-CN" w:bidi="ar"/>
              </w:rPr>
              <w:t xml:space="preserve">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2020年目标量</w:t>
            </w:r>
            <w:r>
              <w:rPr>
                <w:rFonts w:hint="eastAsia" w:ascii="宋体" w:hAnsi="宋体" w:eastAsia="宋体" w:cs="宋体"/>
                <w:color w:val="333333"/>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8326"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ascii="方正楷体_GBK" w:hAnsi="方正楷体_GBK" w:eastAsia="方正楷体_GBK" w:cs="方正楷体_GBK"/>
                <w:color w:val="333333"/>
                <w:kern w:val="0"/>
                <w:sz w:val="24"/>
                <w:szCs w:val="24"/>
                <w:bdr w:val="none" w:color="auto" w:sz="0" w:space="0"/>
                <w:lang w:val="en-US" w:eastAsia="zh-CN" w:bidi="ar"/>
              </w:rPr>
              <w:t>（一）全省各市</w:t>
            </w:r>
            <w:r>
              <w:rPr>
                <w:rFonts w:hint="eastAsia" w:ascii="宋体" w:hAnsi="宋体" w:eastAsia="宋体" w:cs="宋体"/>
                <w:color w:val="333333"/>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 </w:t>
            </w:r>
          </w:p>
        </w:tc>
        <w:tc>
          <w:tcPr>
            <w:tcW w:w="1662"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铁路货运情况 </w:t>
            </w: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铁路货运增量 </w:t>
            </w:r>
          </w:p>
        </w:tc>
        <w:tc>
          <w:tcPr>
            <w:tcW w:w="973"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万吨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153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 </w:t>
            </w:r>
          </w:p>
        </w:tc>
        <w:tc>
          <w:tcPr>
            <w:tcW w:w="166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其中：国家铁路货运增量 </w:t>
            </w:r>
          </w:p>
        </w:tc>
        <w:tc>
          <w:tcPr>
            <w:tcW w:w="97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153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 </w:t>
            </w:r>
          </w:p>
        </w:tc>
        <w:tc>
          <w:tcPr>
            <w:tcW w:w="166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ind w:left="0" w:firstLine="720"/>
              <w:jc w:val="left"/>
            </w:pPr>
            <w:r>
              <w:rPr>
                <w:rFonts w:hint="eastAsia" w:ascii="宋体" w:hAnsi="宋体" w:eastAsia="宋体" w:cs="宋体"/>
                <w:color w:val="333333"/>
                <w:kern w:val="0"/>
                <w:sz w:val="24"/>
                <w:szCs w:val="24"/>
                <w:bdr w:val="none" w:color="auto" w:sz="0" w:space="0"/>
                <w:lang w:val="en-US" w:eastAsia="zh-CN" w:bidi="ar"/>
              </w:rPr>
              <w:t xml:space="preserve">国家能投铁路货运增量 </w:t>
            </w:r>
          </w:p>
        </w:tc>
        <w:tc>
          <w:tcPr>
            <w:tcW w:w="97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 </w:t>
            </w:r>
          </w:p>
        </w:tc>
        <w:tc>
          <w:tcPr>
            <w:tcW w:w="166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ind w:left="0" w:firstLine="720"/>
              <w:jc w:val="left"/>
            </w:pPr>
            <w:r>
              <w:rPr>
                <w:rFonts w:hint="eastAsia" w:ascii="宋体" w:hAnsi="宋体" w:eastAsia="宋体" w:cs="宋体"/>
                <w:color w:val="333333"/>
                <w:kern w:val="0"/>
                <w:sz w:val="24"/>
                <w:szCs w:val="24"/>
                <w:bdr w:val="none" w:color="auto" w:sz="0" w:space="0"/>
                <w:lang w:val="en-US" w:eastAsia="zh-CN" w:bidi="ar"/>
              </w:rPr>
              <w:t xml:space="preserve">其他铁路货运增量 </w:t>
            </w:r>
          </w:p>
        </w:tc>
        <w:tc>
          <w:tcPr>
            <w:tcW w:w="97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c>
          <w:tcPr>
            <w:tcW w:w="166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水运情况 </w:t>
            </w: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水路货运量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万吨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119032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c>
          <w:tcPr>
            <w:tcW w:w="1662"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集装箱多式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联运情况 </w:t>
            </w: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集装箱公铁联运量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万TEU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7 </w:t>
            </w:r>
          </w:p>
        </w:tc>
        <w:tc>
          <w:tcPr>
            <w:tcW w:w="1662"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集装箱铁水联运量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万TEU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 </w:t>
            </w:r>
          </w:p>
        </w:tc>
        <w:tc>
          <w:tcPr>
            <w:tcW w:w="1662"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大型工矿企业（大宗货物年运量150万吨以上）铁路专用线情况 </w:t>
            </w: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大型工矿企业数量中接入铁路专用线的比例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80%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9 </w:t>
            </w:r>
          </w:p>
        </w:tc>
        <w:tc>
          <w:tcPr>
            <w:tcW w:w="1662"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4"/>
                <w:szCs w:val="14"/>
              </w:rPr>
            </w:pP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接入铁路专用线的大型工矿企业大宗货物铁路方式占运输总量比例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长距离线路铁路运输比例达到80%以上，中短距离线路铁路运输比例达到25%以上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c>
          <w:tcPr>
            <w:tcW w:w="166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新能源配送车辆情况 </w:t>
            </w: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城市建成区新增和更新轻型物流配送车辆中，新能源车辆和达到国VI排放标准的清洁能源车辆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80%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 </w:t>
            </w:r>
          </w:p>
        </w:tc>
        <w:tc>
          <w:tcPr>
            <w:tcW w:w="1662"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超限超载治理情况 </w:t>
            </w: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高速公路货运车辆超限超载率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0.50%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 </w:t>
            </w:r>
          </w:p>
        </w:tc>
        <w:tc>
          <w:tcPr>
            <w:tcW w:w="1662"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4"/>
                <w:szCs w:val="14"/>
              </w:rPr>
            </w:pPr>
          </w:p>
        </w:tc>
        <w:tc>
          <w:tcPr>
            <w:tcW w:w="316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高速公路入口称重检测收费站占比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100% </w:t>
            </w:r>
          </w:p>
        </w:tc>
      </w:tr>
      <w:tr>
        <w:tblPrEx>
          <w:tblLayout w:type="fixed"/>
          <w:tblCellMar>
            <w:top w:w="0" w:type="dxa"/>
            <w:left w:w="0" w:type="dxa"/>
            <w:bottom w:w="0" w:type="dxa"/>
            <w:right w:w="0" w:type="dxa"/>
          </w:tblCellMar>
        </w:tblPrEx>
        <w:trPr>
          <w:jc w:val="center"/>
        </w:trPr>
        <w:tc>
          <w:tcPr>
            <w:tcW w:w="8326"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default" w:ascii="方正楷体_GBK" w:hAnsi="方正楷体_GBK" w:eastAsia="方正楷体_GBK" w:cs="方正楷体_GBK"/>
                <w:color w:val="333333"/>
                <w:kern w:val="0"/>
                <w:sz w:val="24"/>
                <w:szCs w:val="24"/>
                <w:bdr w:val="none" w:color="auto" w:sz="0" w:space="0"/>
                <w:lang w:val="en-US" w:eastAsia="zh-CN" w:bidi="ar"/>
              </w:rPr>
              <w:t>（二）合肥、芜湖、马鞍山、滁州</w:t>
            </w:r>
            <w:r>
              <w:rPr>
                <w:rFonts w:hint="eastAsia" w:ascii="宋体" w:hAnsi="宋体" w:eastAsia="宋体" w:cs="宋体"/>
                <w:color w:val="333333"/>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13 </w:t>
            </w:r>
          </w:p>
        </w:tc>
        <w:tc>
          <w:tcPr>
            <w:tcW w:w="2251" w:type="dxa"/>
            <w:gridSpan w:val="2"/>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商品车整车运输情况 </w:t>
            </w:r>
          </w:p>
        </w:tc>
        <w:tc>
          <w:tcPr>
            <w:tcW w:w="25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商品车整车物流铁路运输增量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万辆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14 </w:t>
            </w:r>
          </w:p>
        </w:tc>
        <w:tc>
          <w:tcPr>
            <w:tcW w:w="2251" w:type="dxa"/>
            <w:gridSpan w:val="2"/>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hAnsi="宋体" w:eastAsia="宋体" w:cs="宋体"/>
                <w:color w:val="333333"/>
                <w:sz w:val="14"/>
                <w:szCs w:val="14"/>
              </w:rPr>
            </w:pPr>
          </w:p>
        </w:tc>
        <w:tc>
          <w:tcPr>
            <w:tcW w:w="25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港口滚装汽车吞吐量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万辆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40 </w:t>
            </w:r>
          </w:p>
        </w:tc>
      </w:tr>
      <w:tr>
        <w:tblPrEx>
          <w:tblLayout w:type="fixed"/>
          <w:tblCellMar>
            <w:top w:w="0" w:type="dxa"/>
            <w:left w:w="0" w:type="dxa"/>
            <w:bottom w:w="0" w:type="dxa"/>
            <w:right w:w="0" w:type="dxa"/>
          </w:tblCellMar>
        </w:tblPrEx>
        <w:trPr>
          <w:jc w:val="center"/>
        </w:trPr>
        <w:tc>
          <w:tcPr>
            <w:tcW w:w="8326"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default" w:ascii="方正楷体_GBK" w:hAnsi="方正楷体_GBK" w:eastAsia="方正楷体_GBK" w:cs="方正楷体_GBK"/>
                <w:color w:val="333333"/>
                <w:kern w:val="0"/>
                <w:sz w:val="24"/>
                <w:szCs w:val="24"/>
                <w:bdr w:val="none" w:color="auto" w:sz="0" w:space="0"/>
                <w:lang w:val="en-US" w:eastAsia="zh-CN" w:bidi="ar"/>
              </w:rPr>
              <w:t>（三）合肥、芜湖、安庆、马鞍山、滁州、蚌埠、宣城</w:t>
            </w:r>
            <w:r>
              <w:rPr>
                <w:rFonts w:hint="eastAsia" w:ascii="宋体" w:hAnsi="宋体" w:eastAsia="宋体" w:cs="宋体"/>
                <w:color w:val="333333"/>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15 </w:t>
            </w:r>
          </w:p>
        </w:tc>
        <w:tc>
          <w:tcPr>
            <w:tcW w:w="225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汽车零部件运输情况 </w:t>
            </w:r>
          </w:p>
        </w:tc>
        <w:tc>
          <w:tcPr>
            <w:tcW w:w="25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汽车零部件集装箱运输增量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万TEU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 </w:t>
            </w:r>
          </w:p>
        </w:tc>
      </w:tr>
      <w:tr>
        <w:tblPrEx>
          <w:tblLayout w:type="fixed"/>
          <w:tblCellMar>
            <w:top w:w="0" w:type="dxa"/>
            <w:left w:w="0" w:type="dxa"/>
            <w:bottom w:w="0" w:type="dxa"/>
            <w:right w:w="0" w:type="dxa"/>
          </w:tblCellMar>
        </w:tblPrEx>
        <w:trPr>
          <w:jc w:val="center"/>
        </w:trPr>
        <w:tc>
          <w:tcPr>
            <w:tcW w:w="8326" w:type="dxa"/>
            <w:gridSpan w:val="6"/>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default" w:ascii="方正楷体_GBK" w:hAnsi="方正楷体_GBK" w:eastAsia="方正楷体_GBK" w:cs="方正楷体_GBK"/>
                <w:color w:val="333333"/>
                <w:kern w:val="0"/>
                <w:sz w:val="24"/>
                <w:szCs w:val="24"/>
                <w:bdr w:val="none" w:color="auto" w:sz="0" w:space="0"/>
                <w:lang w:val="en-US" w:eastAsia="zh-CN" w:bidi="ar"/>
              </w:rPr>
              <w:t>（四）合肥、芜湖</w:t>
            </w:r>
            <w:r>
              <w:rPr>
                <w:rFonts w:hint="eastAsia" w:ascii="宋体" w:hAnsi="宋体" w:eastAsia="宋体" w:cs="宋体"/>
                <w:color w:val="333333"/>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67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16 </w:t>
            </w:r>
          </w:p>
        </w:tc>
        <w:tc>
          <w:tcPr>
            <w:tcW w:w="2251"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家电运输情况 </w:t>
            </w:r>
          </w:p>
        </w:tc>
        <w:tc>
          <w:tcPr>
            <w:tcW w:w="257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家电集装箱公铁联运增量 </w:t>
            </w:r>
          </w:p>
        </w:tc>
        <w:tc>
          <w:tcPr>
            <w:tcW w:w="97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万TEU </w:t>
            </w:r>
          </w:p>
        </w:tc>
        <w:tc>
          <w:tcPr>
            <w:tcW w:w="185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 </w:t>
            </w:r>
          </w:p>
        </w:tc>
      </w:tr>
      <w:tr>
        <w:tblPrEx>
          <w:tblLayout w:type="fixed"/>
          <w:tblCellMar>
            <w:top w:w="0" w:type="dxa"/>
            <w:left w:w="0" w:type="dxa"/>
            <w:bottom w:w="0" w:type="dxa"/>
            <w:right w:w="0" w:type="dxa"/>
          </w:tblCellMar>
        </w:tblPrEx>
        <w:trPr>
          <w:jc w:val="center"/>
        </w:trPr>
        <w:tc>
          <w:tcPr>
            <w:tcW w:w="671" w:type="dxa"/>
            <w:tcBorders>
              <w:top w:val="nil"/>
              <w:left w:val="nil"/>
              <w:bottom w:val="nil"/>
              <w:right w:val="nil"/>
            </w:tcBorders>
            <w:shd w:val="clear"/>
            <w:vAlign w:val="center"/>
          </w:tcPr>
          <w:p>
            <w:pPr>
              <w:rPr>
                <w:rFonts w:hint="eastAsia" w:ascii="宋体" w:hAnsi="宋体" w:eastAsia="宋体" w:cs="宋体"/>
                <w:color w:val="333333"/>
                <w:sz w:val="14"/>
                <w:szCs w:val="14"/>
              </w:rPr>
            </w:pPr>
          </w:p>
        </w:tc>
        <w:tc>
          <w:tcPr>
            <w:tcW w:w="1662" w:type="dxa"/>
            <w:tcBorders>
              <w:top w:val="nil"/>
              <w:left w:val="nil"/>
              <w:bottom w:val="nil"/>
              <w:right w:val="nil"/>
            </w:tcBorders>
            <w:shd w:val="clear"/>
            <w:vAlign w:val="center"/>
          </w:tcPr>
          <w:p>
            <w:pPr>
              <w:rPr>
                <w:rFonts w:hint="eastAsia" w:ascii="宋体" w:hAnsi="宋体" w:eastAsia="宋体" w:cs="宋体"/>
                <w:color w:val="333333"/>
                <w:sz w:val="14"/>
                <w:szCs w:val="14"/>
              </w:rPr>
            </w:pPr>
          </w:p>
        </w:tc>
        <w:tc>
          <w:tcPr>
            <w:tcW w:w="589" w:type="dxa"/>
            <w:tcBorders>
              <w:top w:val="nil"/>
              <w:left w:val="nil"/>
              <w:bottom w:val="nil"/>
              <w:right w:val="nil"/>
            </w:tcBorders>
            <w:shd w:val="clear"/>
            <w:vAlign w:val="center"/>
          </w:tcPr>
          <w:p>
            <w:pPr>
              <w:rPr>
                <w:rFonts w:hint="eastAsia" w:ascii="宋体" w:hAnsi="宋体" w:eastAsia="宋体" w:cs="宋体"/>
                <w:color w:val="333333"/>
                <w:sz w:val="14"/>
                <w:szCs w:val="14"/>
              </w:rPr>
            </w:pPr>
          </w:p>
        </w:tc>
        <w:tc>
          <w:tcPr>
            <w:tcW w:w="2572" w:type="dxa"/>
            <w:tcBorders>
              <w:top w:val="nil"/>
              <w:left w:val="nil"/>
              <w:bottom w:val="nil"/>
              <w:right w:val="nil"/>
            </w:tcBorders>
            <w:shd w:val="clear"/>
            <w:vAlign w:val="center"/>
          </w:tcPr>
          <w:p>
            <w:pPr>
              <w:rPr>
                <w:rFonts w:hint="eastAsia" w:ascii="宋体" w:hAnsi="宋体" w:eastAsia="宋体" w:cs="宋体"/>
                <w:color w:val="333333"/>
                <w:sz w:val="14"/>
                <w:szCs w:val="14"/>
              </w:rPr>
            </w:pPr>
          </w:p>
        </w:tc>
        <w:tc>
          <w:tcPr>
            <w:tcW w:w="973" w:type="dxa"/>
            <w:tcBorders>
              <w:top w:val="nil"/>
              <w:left w:val="nil"/>
              <w:bottom w:val="nil"/>
              <w:right w:val="nil"/>
            </w:tcBorders>
            <w:shd w:val="clear"/>
            <w:vAlign w:val="center"/>
          </w:tcPr>
          <w:p>
            <w:pPr>
              <w:rPr>
                <w:rFonts w:hint="eastAsia" w:ascii="宋体" w:hAnsi="宋体" w:eastAsia="宋体" w:cs="宋体"/>
                <w:color w:val="333333"/>
                <w:sz w:val="14"/>
                <w:szCs w:val="14"/>
              </w:rPr>
            </w:pPr>
          </w:p>
        </w:tc>
        <w:tc>
          <w:tcPr>
            <w:tcW w:w="1859" w:type="dxa"/>
            <w:tcBorders>
              <w:top w:val="nil"/>
              <w:left w:val="nil"/>
              <w:bottom w:val="nil"/>
              <w:right w:val="nil"/>
            </w:tcBorders>
            <w:shd w:val="clear"/>
            <w:vAlign w:val="center"/>
          </w:tcPr>
          <w:p>
            <w:pPr>
              <w:rPr>
                <w:rFonts w:hint="eastAsia" w:ascii="宋体" w:hAnsi="宋体" w:eastAsia="宋体" w:cs="宋体"/>
                <w:color w:val="333333"/>
                <w:sz w:val="14"/>
                <w:szCs w:val="1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6" w:lineRule="atLeast"/>
        <w:ind w:left="0" w:right="0" w:firstLine="312"/>
        <w:jc w:val="center"/>
      </w:pPr>
      <w:r>
        <w:rPr>
          <w:rFonts w:ascii="方正小标宋_GBK" w:hAnsi="方正小标宋_GBK" w:eastAsia="方正小标宋_GBK" w:cs="方正小标宋_GBK"/>
          <w:color w:val="333333"/>
          <w:sz w:val="44"/>
          <w:szCs w:val="44"/>
          <w:bdr w:val="none" w:color="auto" w:sz="0" w:space="0"/>
        </w:rPr>
        <w:t>安徽省铁路货运增量分解表</w:t>
      </w:r>
      <w:r>
        <w:rPr>
          <w:rFonts w:hint="eastAsia" w:ascii="宋体" w:hAnsi="宋体" w:eastAsia="宋体" w:cs="宋体"/>
          <w:color w:val="333333"/>
          <w:sz w:val="19"/>
          <w:szCs w:val="19"/>
          <w:bdr w:val="none" w:color="auto" w:sz="0" w:space="0"/>
        </w:rPr>
        <w:t xml:space="preserve"> </w:t>
      </w:r>
    </w:p>
    <w:tbl>
      <w:tblPr>
        <w:tblW w:w="8326" w:type="dxa"/>
        <w:jc w:val="center"/>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14"/>
        <w:gridCol w:w="1073"/>
        <w:gridCol w:w="933"/>
        <w:gridCol w:w="912"/>
        <w:gridCol w:w="1338"/>
        <w:gridCol w:w="946"/>
        <w:gridCol w:w="895"/>
        <w:gridCol w:w="857"/>
        <w:gridCol w:w="8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ascii="方正黑体_GBK" w:hAnsi="方正黑体_GBK" w:eastAsia="方正黑体_GBK" w:cs="方正黑体_GBK"/>
                <w:color w:val="333333"/>
                <w:kern w:val="0"/>
                <w:sz w:val="24"/>
                <w:szCs w:val="24"/>
                <w:bdr w:val="none" w:color="auto" w:sz="0" w:space="0"/>
                <w:lang w:val="en-US" w:eastAsia="zh-CN" w:bidi="ar"/>
              </w:rPr>
              <w:t>序号</w:t>
            </w:r>
            <w:r>
              <w:rPr>
                <w:rFonts w:hint="eastAsia" w:ascii="宋体" w:hAnsi="宋体" w:eastAsia="宋体" w:cs="宋体"/>
                <w:color w:val="333333"/>
                <w:kern w:val="0"/>
                <w:sz w:val="24"/>
                <w:szCs w:val="24"/>
                <w:bdr w:val="none" w:color="auto" w:sz="0" w:space="0"/>
                <w:lang w:val="en-US" w:eastAsia="zh-CN" w:bidi="ar"/>
              </w:rPr>
              <w:t xml:space="preserve">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地区</w:t>
            </w:r>
            <w:r>
              <w:rPr>
                <w:rFonts w:hint="eastAsia" w:ascii="宋体" w:hAnsi="宋体" w:eastAsia="宋体" w:cs="宋体"/>
                <w:color w:val="333333"/>
                <w:kern w:val="0"/>
                <w:sz w:val="24"/>
                <w:szCs w:val="24"/>
                <w:bdr w:val="none" w:color="auto" w:sz="0" w:space="0"/>
                <w:lang w:val="en-US" w:eastAsia="zh-CN" w:bidi="ar"/>
              </w:rPr>
              <w:t xml:space="preserve">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2017</w:t>
            </w:r>
            <w:r>
              <w:rPr>
                <w:rFonts w:hint="default" w:ascii="方正黑体_GBK" w:hAnsi="方正黑体_GBK" w:eastAsia="方正黑体_GBK" w:cs="方正黑体_GBK"/>
                <w:color w:val="333333"/>
                <w:kern w:val="0"/>
                <w:sz w:val="24"/>
                <w:szCs w:val="24"/>
                <w:bdr w:val="none" w:color="auto" w:sz="0" w:space="0"/>
                <w:lang w:val="en-US" w:eastAsia="zh-CN" w:bidi="ar"/>
              </w:rPr>
              <w:t>年全社会铁路货运量（万吨）</w:t>
            </w:r>
            <w:r>
              <w:rPr>
                <w:rFonts w:hint="eastAsia" w:ascii="宋体" w:hAnsi="宋体" w:eastAsia="宋体" w:cs="宋体"/>
                <w:color w:val="333333"/>
                <w:kern w:val="0"/>
                <w:sz w:val="24"/>
                <w:szCs w:val="24"/>
                <w:bdr w:val="none" w:color="auto" w:sz="0" w:space="0"/>
                <w:lang w:val="en-US" w:eastAsia="zh-CN" w:bidi="ar"/>
              </w:rPr>
              <w:t xml:space="preserve">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2019</w:t>
            </w:r>
            <w:r>
              <w:rPr>
                <w:rFonts w:hint="default" w:ascii="方正黑体_GBK" w:hAnsi="方正黑体_GBK" w:eastAsia="方正黑体_GBK" w:cs="方正黑体_GBK"/>
                <w:color w:val="333333"/>
                <w:kern w:val="0"/>
                <w:sz w:val="24"/>
                <w:szCs w:val="24"/>
                <w:bdr w:val="none" w:color="auto" w:sz="0" w:space="0"/>
                <w:lang w:val="en-US" w:eastAsia="zh-CN" w:bidi="ar"/>
              </w:rPr>
              <w:t>年全社会铁路货运量（万吨）</w:t>
            </w:r>
            <w:r>
              <w:rPr>
                <w:rFonts w:hint="eastAsia" w:ascii="宋体" w:hAnsi="宋体" w:eastAsia="宋体" w:cs="宋体"/>
                <w:color w:val="333333"/>
                <w:kern w:val="0"/>
                <w:sz w:val="24"/>
                <w:szCs w:val="24"/>
                <w:bdr w:val="none" w:color="auto" w:sz="0" w:space="0"/>
                <w:lang w:val="en-US" w:eastAsia="zh-CN" w:bidi="ar"/>
              </w:rPr>
              <w:t xml:space="preserve">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2018-2019</w:t>
            </w:r>
            <w:r>
              <w:rPr>
                <w:rFonts w:hint="default" w:ascii="方正黑体_GBK" w:hAnsi="方正黑体_GBK" w:eastAsia="方正黑体_GBK" w:cs="方正黑体_GBK"/>
                <w:color w:val="333333"/>
                <w:kern w:val="0"/>
                <w:sz w:val="24"/>
                <w:szCs w:val="24"/>
                <w:bdr w:val="none" w:color="auto" w:sz="0" w:space="0"/>
                <w:lang w:val="en-US" w:eastAsia="zh-CN" w:bidi="ar"/>
              </w:rPr>
              <w:t>年全社会铁路货运增量（万吨）</w:t>
            </w:r>
            <w:r>
              <w:rPr>
                <w:rFonts w:hint="eastAsia" w:ascii="宋体" w:hAnsi="宋体" w:eastAsia="宋体" w:cs="宋体"/>
                <w:color w:val="333333"/>
                <w:kern w:val="0"/>
                <w:sz w:val="24"/>
                <w:szCs w:val="24"/>
                <w:bdr w:val="none" w:color="auto" w:sz="0" w:space="0"/>
                <w:lang w:val="en-US" w:eastAsia="zh-CN" w:bidi="ar"/>
              </w:rPr>
              <w:t xml:space="preserve">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2020</w:t>
            </w:r>
            <w:r>
              <w:rPr>
                <w:rFonts w:hint="default" w:ascii="方正黑体_GBK" w:hAnsi="方正黑体_GBK" w:eastAsia="方正黑体_GBK" w:cs="方正黑体_GBK"/>
                <w:color w:val="333333"/>
                <w:kern w:val="0"/>
                <w:sz w:val="24"/>
                <w:szCs w:val="24"/>
                <w:bdr w:val="none" w:color="auto" w:sz="0" w:space="0"/>
                <w:lang w:val="en-US" w:eastAsia="zh-CN" w:bidi="ar"/>
              </w:rPr>
              <w:t>年全社会铁路货运量（万吨）</w:t>
            </w:r>
            <w:r>
              <w:rPr>
                <w:rFonts w:hint="eastAsia" w:ascii="宋体" w:hAnsi="宋体" w:eastAsia="宋体" w:cs="宋体"/>
                <w:color w:val="333333"/>
                <w:kern w:val="0"/>
                <w:sz w:val="24"/>
                <w:szCs w:val="24"/>
                <w:bdr w:val="none" w:color="auto" w:sz="0" w:space="0"/>
                <w:lang w:val="en-US" w:eastAsia="zh-CN" w:bidi="ar"/>
              </w:rPr>
              <w:t xml:space="preserve">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2020</w:t>
            </w:r>
            <w:r>
              <w:rPr>
                <w:rFonts w:hint="default" w:ascii="方正黑体_GBK" w:hAnsi="方正黑体_GBK" w:eastAsia="方正黑体_GBK" w:cs="方正黑体_GBK"/>
                <w:color w:val="333333"/>
                <w:kern w:val="0"/>
                <w:sz w:val="24"/>
                <w:szCs w:val="24"/>
                <w:bdr w:val="none" w:color="auto" w:sz="0" w:space="0"/>
                <w:lang w:val="en-US" w:eastAsia="zh-CN" w:bidi="ar"/>
              </w:rPr>
              <w:t>年全社会铁路货运增量（万吨）</w:t>
            </w:r>
            <w:r>
              <w:rPr>
                <w:rFonts w:hint="eastAsia" w:ascii="宋体" w:hAnsi="宋体" w:eastAsia="宋体" w:cs="宋体"/>
                <w:color w:val="333333"/>
                <w:kern w:val="0"/>
                <w:sz w:val="24"/>
                <w:szCs w:val="24"/>
                <w:bdr w:val="none" w:color="auto" w:sz="0" w:space="0"/>
                <w:lang w:val="en-US" w:eastAsia="zh-CN" w:bidi="ar"/>
              </w:rPr>
              <w:t xml:space="preserve">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三年合计增量（万吨）</w:t>
            </w:r>
            <w:r>
              <w:rPr>
                <w:rFonts w:hint="eastAsia" w:ascii="宋体" w:hAnsi="宋体" w:eastAsia="宋体" w:cs="宋体"/>
                <w:color w:val="333333"/>
                <w:kern w:val="0"/>
                <w:sz w:val="24"/>
                <w:szCs w:val="24"/>
                <w:bdr w:val="none" w:color="auto" w:sz="0" w:space="0"/>
                <w:lang w:val="en-US" w:eastAsia="zh-CN" w:bidi="ar"/>
              </w:rPr>
              <w:t xml:space="preserve">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增长</w:t>
            </w:r>
            <w:r>
              <w:rPr>
                <w:rFonts w:hint="eastAsia" w:ascii="宋体" w:hAnsi="宋体" w:eastAsia="宋体" w:cs="宋体"/>
                <w:color w:val="333333"/>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w:t>
            </w:r>
            <w:r>
              <w:rPr>
                <w:rFonts w:hint="default" w:ascii="方正黑体_GBK" w:hAnsi="方正黑体_GBK" w:eastAsia="方正黑体_GBK" w:cs="方正黑体_GBK"/>
                <w:color w:val="333333"/>
                <w:kern w:val="0"/>
                <w:sz w:val="24"/>
                <w:szCs w:val="24"/>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87" w:type="dxa"/>
            <w:gridSpan w:val="2"/>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全省合计</w:t>
            </w:r>
            <w:r>
              <w:rPr>
                <w:rFonts w:hint="eastAsia" w:ascii="宋体" w:hAnsi="宋体" w:eastAsia="宋体" w:cs="宋体"/>
                <w:color w:val="333333"/>
                <w:kern w:val="0"/>
                <w:sz w:val="24"/>
                <w:szCs w:val="24"/>
                <w:bdr w:val="none" w:color="auto" w:sz="0" w:space="0"/>
                <w:lang w:val="en-US" w:eastAsia="zh-CN" w:bidi="ar"/>
              </w:rPr>
              <w:t xml:space="preserve">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8942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9014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72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9095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81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153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1.71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合  肥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1286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1302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16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1313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27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2.10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淮  北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590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590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594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0.68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亳  州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1164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1164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1172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0.69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宿  州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1173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1173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1173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蚌  埠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69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73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75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8.70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阜  阳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1082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1082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1092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0.92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7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淮  南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2027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2045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18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2057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30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1.48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滁  州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32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32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32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9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六  安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416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421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431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15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3.61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马鞍山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340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352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358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18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5.29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芜  湖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292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295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299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7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2.40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宣  城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66.67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13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铜  陵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320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332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338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18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5.63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14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池  州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15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安  庆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122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122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128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4.92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1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16 </w:t>
            </w:r>
          </w:p>
        </w:tc>
        <w:tc>
          <w:tcPr>
            <w:tcW w:w="107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黄  山 </w:t>
            </w:r>
          </w:p>
        </w:tc>
        <w:tc>
          <w:tcPr>
            <w:tcW w:w="933"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18 </w:t>
            </w:r>
          </w:p>
        </w:tc>
        <w:tc>
          <w:tcPr>
            <w:tcW w:w="912"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18 </w:t>
            </w:r>
          </w:p>
        </w:tc>
        <w:tc>
          <w:tcPr>
            <w:tcW w:w="133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94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18 </w:t>
            </w:r>
          </w:p>
        </w:tc>
        <w:tc>
          <w:tcPr>
            <w:tcW w:w="89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85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c>
          <w:tcPr>
            <w:tcW w:w="85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 </w:t>
            </w:r>
          </w:p>
        </w:tc>
      </w:tr>
    </w:tbl>
    <w:p>
      <w:pPr>
        <w:rPr>
          <w:rFonts w:hint="default" w:ascii="方正黑体_GBK" w:hAnsi="方正黑体_GBK" w:eastAsia="方正黑体_GBK" w:cs="方正黑体_GBK"/>
          <w:color w:val="333333"/>
          <w:sz w:val="32"/>
          <w:szCs w:val="32"/>
          <w:bdr w:val="none" w:color="auto" w:sz="0" w:space="0"/>
        </w:rPr>
      </w:pPr>
      <w:r>
        <w:rPr>
          <w:rFonts w:hint="default" w:ascii="方正黑体_GBK" w:hAnsi="方正黑体_GBK" w:eastAsia="方正黑体_GBK" w:cs="方正黑体_GBK"/>
          <w:color w:val="333333"/>
          <w:sz w:val="32"/>
          <w:szCs w:val="32"/>
          <w:bdr w:val="none" w:color="auto" w:sz="0" w:space="0"/>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36" w:lineRule="atLeast"/>
        <w:ind w:left="0" w:right="0" w:firstLine="312"/>
        <w:jc w:val="center"/>
      </w:pPr>
      <w:bookmarkStart w:id="0" w:name="_GoBack"/>
      <w:bookmarkEnd w:id="0"/>
      <w:r>
        <w:rPr>
          <w:rFonts w:hint="default" w:ascii="方正小标宋_GBK" w:hAnsi="方正小标宋_GBK" w:eastAsia="方正小标宋_GBK" w:cs="方正小标宋_GBK"/>
          <w:color w:val="333333"/>
          <w:sz w:val="44"/>
          <w:szCs w:val="44"/>
          <w:bdr w:val="none" w:color="auto" w:sz="0" w:space="0"/>
        </w:rPr>
        <w:t>安徽省运输结构调整铁路货运增量项目表</w:t>
      </w:r>
      <w:r>
        <w:rPr>
          <w:rFonts w:hint="eastAsia" w:ascii="宋体" w:hAnsi="宋体" w:eastAsia="宋体" w:cs="宋体"/>
          <w:color w:val="333333"/>
          <w:sz w:val="19"/>
          <w:szCs w:val="19"/>
          <w:bdr w:val="none" w:color="auto" w:sz="0" w:space="0"/>
        </w:rPr>
        <w:t xml:space="preserve"> </w:t>
      </w:r>
    </w:p>
    <w:tbl>
      <w:tblPr>
        <w:tblW w:w="11520" w:type="dxa"/>
        <w:jc w:val="center"/>
        <w:tblInd w:w="-1607" w:type="dxa"/>
        <w:shd w:val="clear"/>
        <w:tblLayout w:type="fixed"/>
        <w:tblCellMar>
          <w:top w:w="0" w:type="dxa"/>
          <w:left w:w="0" w:type="dxa"/>
          <w:bottom w:w="0" w:type="dxa"/>
          <w:right w:w="0" w:type="dxa"/>
        </w:tblCellMar>
      </w:tblPr>
      <w:tblGrid>
        <w:gridCol w:w="495"/>
        <w:gridCol w:w="717"/>
        <w:gridCol w:w="1466"/>
        <w:gridCol w:w="1087"/>
        <w:gridCol w:w="6539"/>
        <w:gridCol w:w="1216"/>
      </w:tblGrid>
      <w:tr>
        <w:tblPrEx>
          <w:shd w:val="clear"/>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序号</w:t>
            </w:r>
            <w:r>
              <w:rPr>
                <w:rFonts w:hint="eastAsia" w:ascii="宋体" w:hAnsi="宋体" w:eastAsia="宋体" w:cs="宋体"/>
                <w:color w:val="333333"/>
                <w:kern w:val="0"/>
                <w:sz w:val="24"/>
                <w:szCs w:val="24"/>
                <w:bdr w:val="none" w:color="auto" w:sz="0" w:space="0"/>
                <w:lang w:val="en-US" w:eastAsia="zh-CN" w:bidi="ar"/>
              </w:rPr>
              <w:t xml:space="preserve"> </w:t>
            </w:r>
          </w:p>
        </w:tc>
        <w:tc>
          <w:tcPr>
            <w:tcW w:w="7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地区</w:t>
            </w:r>
            <w:r>
              <w:rPr>
                <w:rFonts w:hint="eastAsia" w:ascii="宋体" w:hAnsi="宋体" w:eastAsia="宋体" w:cs="宋体"/>
                <w:color w:val="333333"/>
                <w:kern w:val="0"/>
                <w:sz w:val="24"/>
                <w:szCs w:val="24"/>
                <w:bdr w:val="none" w:color="auto" w:sz="0" w:space="0"/>
                <w:lang w:val="en-US" w:eastAsia="zh-CN" w:bidi="ar"/>
              </w:rPr>
              <w:t xml:space="preserve">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项目</w:t>
            </w:r>
            <w:r>
              <w:rPr>
                <w:rFonts w:hint="eastAsia" w:ascii="宋体" w:hAnsi="宋体" w:eastAsia="宋体" w:cs="宋体"/>
                <w:color w:val="333333"/>
                <w:kern w:val="0"/>
                <w:sz w:val="24"/>
                <w:szCs w:val="24"/>
                <w:bdr w:val="none" w:color="auto" w:sz="0" w:space="0"/>
                <w:lang w:val="en-US" w:eastAsia="zh-CN" w:bidi="ar"/>
              </w:rPr>
              <w:t xml:space="preserve">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建成时间</w:t>
            </w:r>
            <w:r>
              <w:rPr>
                <w:rFonts w:hint="eastAsia" w:ascii="宋体" w:hAnsi="宋体" w:eastAsia="宋体" w:cs="宋体"/>
                <w:color w:val="333333"/>
                <w:kern w:val="0"/>
                <w:sz w:val="24"/>
                <w:szCs w:val="24"/>
                <w:bdr w:val="none" w:color="auto" w:sz="0" w:space="0"/>
                <w:lang w:val="en-US" w:eastAsia="zh-CN" w:bidi="ar"/>
              </w:rPr>
              <w:t xml:space="preserve">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建设内容与进度</w:t>
            </w:r>
            <w:r>
              <w:rPr>
                <w:rFonts w:hint="eastAsia" w:ascii="宋体" w:hAnsi="宋体" w:eastAsia="宋体" w:cs="宋体"/>
                <w:color w:val="333333"/>
                <w:kern w:val="0"/>
                <w:sz w:val="24"/>
                <w:szCs w:val="24"/>
                <w:bdr w:val="none" w:color="auto" w:sz="0" w:space="0"/>
                <w:lang w:val="en-US" w:eastAsia="zh-CN" w:bidi="ar"/>
              </w:rPr>
              <w:t xml:space="preserve">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铁路增量储备（万吨）</w:t>
            </w:r>
            <w:r>
              <w:rPr>
                <w:rFonts w:hint="eastAsia" w:ascii="宋体" w:hAnsi="宋体" w:eastAsia="宋体" w:cs="宋体"/>
                <w:color w:val="333333"/>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合肥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新建庐江至铜陵铁路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2018年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自既有合九线柯坦站引出，经合肥市庐江县、芜湖市无为县，至铜陵市义安区铜陵北站，接芜铜铁路，省内总长度95.5公里，总投资53.5亿元，开通后将增强既有铁路货运网络南北向联系，进一步消除合肥都市圈与皖南地区铁路货运沟通瓶颈，目前已完成竣工验收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新建庐江电厂至龙桥站专用线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新建连接庐江电厂和既有龙桥站的铁路专用线，实现自用煤公路短驳转移至铁路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淮南铁路扩能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电气化改造既有铁路432.3公里，总投资25亿，改造完成后将进一步增强省内南北向铁路干线运输通道运输能力，目前已完成工程招标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合肥至九江铁路扩能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电气化改造既有铁路210公里，总投资37.7亿元，改造完成后将进一步加强合肥都市圈货运能力，提升西南—东北向铁路干线货运能力，目前已完成前期工作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合肥北货场扩能改造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2018年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增加集装箱装卸线1条，进一步提升集装箱作业能力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合肥小庙货场扩能改造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增加合肥地区铁路货运办理能力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7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新建合肥派河港专用线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新建合肥港派河港区铁路专用线，目前处于前期规划阶段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8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淮北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青龙山货场改造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增强淮北货场办理能力，完善货场基本功能，增加铁路货运量，目前正在开展前期工作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9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符夹铁路扩能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复线电气化改造既有铁路68.7公里，总投资32.6亿元，改造完成后将提升皖北大宗货物铁路干线运输能力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青阜铁路扩能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电气化改造既有铁路432.3公里，总投资25亿，目前已完成工程招标，改造完成后将进一步增强省内南北向铁路干线运输通道运输能力，加强皖北、皖南与合肥都市圈的协同发展，提升皖北地区铁路货运整体水平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11 </w:t>
            </w:r>
          </w:p>
        </w:tc>
        <w:tc>
          <w:tcPr>
            <w:tcW w:w="7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亳州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新建亳州综合铁路物流基地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新建综合性货场，增加亳州地区货物办理能力，推动公路向铁路货运转移200万吨，目前正在开展前期工作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12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宿州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符夹铁路扩能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复线电气化改造既有铁路68.7公里，总投资32.6亿元，改造完成后，将提升皖北大宗货物铁路干线运输能力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13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萧县货场复原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与符夹铁路同步推进，恢复萧县货场作业能力，促进地区铁路运量恢复性增加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14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蚌埠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水蚌铁路扩能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既有铁路432.3公里电气化改造，总投资25亿，目前已完成工程招标，改造完成后将进一步增强省内南北向铁路干线运输通道运输能力，加强皖北、皖南与合肥都市圈的协同发展，提升皖北地区铁路货运整体水平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15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新建蚌埠沫河口化工园区铁路专用线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新建一条铁路专用线接入沫河口化工园区，承担沫河口化工园区货物运输，项目预可行性研究报告正在评审阶段，预计2020年开工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16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蚌埠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新建蚌埠固镇丰原集团铁路专用线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新建通往固镇经济开发区铁路专用线，接轨连城站，承担固镇经济开发区460万吨货物运输。项目预可行性研究报告正在评审阶段，预计2020年开工建设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17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新建蚌埠临港产业园专用线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新建铁路专用线接入蚌埠东站，支撑长淮卫临港产业园综合货运中心多式联运发展，目前预可行性研究报告正在评审阶段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18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阜阳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青阜铁路扩能改造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电气化改造既有铁路432.3公里，总投资25亿，目前已完成工程招标，改造完成后将进一步增强省内南北向铁路干线运输通道运输能力，加强皖北、皖南与合肥都市圈的协同发展，提升皖北地区铁路货运整体水平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19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阜淮铁路扩能改造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新建阜阳煤基新材料专用线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专用线全长2.03公里，总投资4.7亿元，适应阜阳煤基新材料产业园区新型煤化工产业基地建设需要，满足产业园进出货物铁路运输需求，目前可行性研究报告已过审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21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新建阜阳铁路物流港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新建综合性货场，增加阜阳地区货物办理能力，目前正在开展前期工作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22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阜南货场扩能改造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增加阜南货场集装箱办理能力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23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谢桥货场扩能改造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增加谢桥货场集装箱办理能力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24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淮南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青阜铁路扩能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电气化改造既有铁路432.3公里，总投资25亿，目前已完成工程招标，改造完成后将进一步增强省内南北向铁路干线运输通道运输能力，加强皖北、皖南与合肥都市圈的协同发展，提升皖北地区铁路货运整体水平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25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淮南铁路扩能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26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淮南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中安联合煤制甲醇及转化烯烃项目铁路专用线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线路西起国铁潘集站，沿阜淮线下行至高家湖东侧，设计运进煤炭98万吨/年，运出袋装聚乙烯、聚丙烯23万吨/年，合计运量为121万吨/年，全长4.38公里，总投资3.4亿元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27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新建安徽中志轨道物流园铁路专用线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满足物流园货运公转铁运输需求，目前项目初步设计已过审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28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新建安徽（淮南）现代煤化工产业园铁路专用线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满足煤化工产业园公转铁运输需求，目前项目处于规划阶段，预计2020年前开工建设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29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新建淮南港皖江物流综合码头铁路专用线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铁水联运、煤炭跟件杂货集运，目前已立项并完成施工图设计，即将开工建设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30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新建淮南南铁路物流基地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新建综合性货场，增加淮南地区货物办理能力，推动公路向铁路货运转移200万吨，目前正在开展前期工作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31 </w:t>
            </w:r>
          </w:p>
        </w:tc>
        <w:tc>
          <w:tcPr>
            <w:tcW w:w="7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滁州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新建滁州铁路物流基地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以服务滁州市为主，同时兼顾南京江北地区客户铁路运输需求，兼顾适箱货物的快速增长需求，打造集散堆装、包装成件、集装箱等多功能于一体、配套提供综合仓储、配送等多种增值物流服务的综合型物流基地。目前正在推进项目选址等前期工作。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32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六安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新建六安景铁路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自六安至安庆至景德镇，省内长度210公里，投资120亿元，已列入国家中长期铁路网规划，开通后将增强省内西南区域铁路货运南北向沟通，拓展省际区域间货运联系通道，支撑六安、安庆、池州、黄山的产业升级与运输结构调整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33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霍邱铁矿石装车基地专用线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新建铁路进铁矿企业，增加铁路货运量，降低企业物流成本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34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马鞍山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宁芜铜铁路扩能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电气化改造既有铁路160公里，总投资33.3亿元，改造后将大幅提升长江经济带沿江货运通道铁路运输能力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35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淮南铁路扩能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电气化改造既有铁路432.3公里，总投资25亿，改造完成后将进一步增强省内南北向铁路干线运输通道运输能力，目前已完成工程招标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36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马鞍山姑山矿至马钢生产基地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既有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利用马鞍山姑山矿至马钢生产基地既有铁路线，实现中短距离公路货运向铁路转移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37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马钢专用线利用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既有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实现既有铁路专用线卷钢、矿石、焦炭运量增长10万吨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38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长江钢铁专用线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既有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实现既有铁路专用线矿石、焦炭运量增长10万吨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39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新建郑蒲港区铁路专用线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线路自淮南铁路铜城闸站引出，向东经芜湖、马鞍山，终至郑蒲港区，总长度约38.78公里，总投资23.35亿元，正在开展建设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r>
      <w:tr>
        <w:tblPrEx>
          <w:tblLayout w:type="fixed"/>
          <w:tblCellMar>
            <w:top w:w="0" w:type="dxa"/>
            <w:left w:w="0" w:type="dxa"/>
            <w:bottom w:w="0" w:type="dxa"/>
            <w:right w:w="0" w:type="dxa"/>
          </w:tblCellMar>
        </w:tblPrEx>
        <w:trPr>
          <w:jc w:val="center"/>
        </w:trPr>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40 </w:t>
            </w:r>
          </w:p>
        </w:tc>
        <w:tc>
          <w:tcPr>
            <w:tcW w:w="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芜湖 </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宁芜铜铁路扩能改造 </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电气化改造既有铁路160公里，总投资33.3亿元，改造后将大幅提升长江经济带沿江货运通道铁路运输能力 </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41 </w:t>
            </w:r>
          </w:p>
        </w:tc>
        <w:tc>
          <w:tcPr>
            <w:tcW w:w="71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芜湖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海螺水泥铁路运输 </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既有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海螺水泥铁路线既有能力挖潜利用 </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42 </w:t>
            </w:r>
          </w:p>
        </w:tc>
        <w:tc>
          <w:tcPr>
            <w:tcW w:w="7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广德货场改造改造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增加货场综合办理能力，降低企业物流成本，目前正在推进前期工作 </w:t>
            </w:r>
          </w:p>
        </w:tc>
        <w:tc>
          <w:tcPr>
            <w:tcW w:w="12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43 </w:t>
            </w:r>
          </w:p>
        </w:tc>
        <w:tc>
          <w:tcPr>
            <w:tcW w:w="71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裕溪口铁路返装煤项目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2018年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提高铁路返装煤运输量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44 </w:t>
            </w:r>
          </w:p>
        </w:tc>
        <w:tc>
          <w:tcPr>
            <w:tcW w:w="7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宣城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新建巷口桥货场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增加宣城地区货物办理能力，目前在建设中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45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铜陵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新建庐江至铜陵铁路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2018年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自既有合九线柯坦站引出，经合肥市庐江县、芜湖市无为县，至铜陵市义安区铜陵北站，接芜铜铁路，省内总长度95.5公里，总投资53.5亿元，开通后将增强既有铁路货运网络南北向联系，进一步消除合肥都市圈与皖南地区铁路货运沟通瓶颈，目前已完成竣工验收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32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46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宁芜铜铁路扩能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电气化改造既有铁路160公里，总投资33.3亿元，改造后将大幅提升长江经济带沿江货运通道铁路运输能力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47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铜陵有色专用线利用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既有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实现至2020年既有铁路专用线电解铜和铁球团运量增长5万吨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48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铜陵化工专用线利用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既有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实现至2020年既有铁路专用线化肥和铁精粉运量增长5万吨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49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海螺水泥专用线利用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既有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提高海螺水泥铁路线利用效率，提高既有铁路专用线水泥运量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 </w:t>
            </w:r>
          </w:p>
        </w:tc>
      </w:tr>
      <w:tr>
        <w:tblPrEx>
          <w:tblLayout w:type="fixed"/>
          <w:tblCellMar>
            <w:top w:w="0" w:type="dxa"/>
            <w:left w:w="0" w:type="dxa"/>
            <w:bottom w:w="0" w:type="dxa"/>
            <w:right w:w="0" w:type="dxa"/>
          </w:tblCellMar>
        </w:tblPrEx>
        <w:trPr>
          <w:jc w:val="center"/>
        </w:trPr>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50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铜陵 </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新建铜陵港江北港区专用线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线路从庐铜铁路庐江南站接出，至江北港港区，全长约58公里，总投资约22亿元，已由国家推动长江经济带发展领导小组办公室和安徽省发展改革委下达计划开工建设 </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51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铜化集团狮子山货场扩能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更新既有货场装卸车设备，提高货物办理能力，促进提升铁路运量5万吨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52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新河镇货场扩能改造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更新既有货场装卸车设备，提高货物办理能力，促进提升铁路运量30万吨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53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石子山货场扩能改造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2019年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更新既有货场装卸车设备，提高货物办理能力，促进提升铁路运量30万吨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30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54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池州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新建六安景铁路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自六安至安庆至景德镇，省内长度210公里，投资120亿元，已列入国家中长期铁路网规划，开通后将增强省内西南区域铁路货运南北向沟通，拓展地区省际货运联系通道，支撑六安、安庆、池州、黄山的产业升级与运输结构调整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55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新建香隅化工园专用线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依托长江黄金水道建设铁水联运货运枢纽，充分发挥铁水联运运输优势，满足园区及周边区域运输需求，总投资4.52亿元，目前处于前期规划阶段，预计2020年底前开工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56 </w:t>
            </w:r>
          </w:p>
        </w:tc>
        <w:tc>
          <w:tcPr>
            <w:tcW w:w="717"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安庆 </w:t>
            </w: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新建六安景铁路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自六安至安庆至景德镇，省内长度210公里，投资120亿元，已列入国家中长期铁路网规划，开通后将增强省内西南区域铁路货运南北向沟通，拓展地区省际货运联系通道，支撑六安、安庆、池州、黄山的产业升级与运输结构调整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57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合肥至九江铁路扩能改造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既有铁路210公里电气化改造，总投资37.7亿元，改造完成后将进一步加强合肥都市圈货运能力，提升西南—东北向铁路干线货运能力，目前已完成前期工作 </w:t>
            </w:r>
          </w:p>
        </w:tc>
        <w:tc>
          <w:tcPr>
            <w:tcW w:w="121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58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安庆北货场扩能改造 </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 </w:t>
            </w:r>
          </w:p>
        </w:tc>
        <w:tc>
          <w:tcPr>
            <w:tcW w:w="65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提升集装箱作业能力，目前正在开展前期工作 </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100 </w:t>
            </w:r>
          </w:p>
        </w:tc>
      </w:tr>
      <w:tr>
        <w:tblPrEx>
          <w:tblLayout w:type="fixed"/>
          <w:tblCellMar>
            <w:top w:w="0" w:type="dxa"/>
            <w:left w:w="0" w:type="dxa"/>
            <w:bottom w:w="0" w:type="dxa"/>
            <w:right w:w="0" w:type="dxa"/>
          </w:tblCellMar>
        </w:tblPrEx>
        <w:trPr>
          <w:jc w:val="center"/>
        </w:trPr>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59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新建安庆皖河农场作业区铁路专用线 </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线路满足皖河港区铁路集疏运需求，由阜景铁路安庆编组站或货运站引出港口铁路三级专用线（含区内铁路线），建设里程35公里，总投资29亿元，目前已完成规划 </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60 </w:t>
            </w:r>
          </w:p>
        </w:tc>
        <w:tc>
          <w:tcPr>
            <w:tcW w:w="717"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color w:val="333333"/>
                <w:sz w:val="14"/>
                <w:szCs w:val="14"/>
              </w:rPr>
            </w:pPr>
          </w:p>
        </w:tc>
        <w:tc>
          <w:tcPr>
            <w:tcW w:w="146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新建安庆港中心港区长风专用线 </w:t>
            </w:r>
          </w:p>
        </w:tc>
        <w:tc>
          <w:tcPr>
            <w:tcW w:w="10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从阜六景铁路引支线到作业区，建设里程13.9公里，总投资13.9亿元，目前安庆港中心港区总体规划已获批 </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61 </w:t>
            </w:r>
          </w:p>
        </w:tc>
        <w:tc>
          <w:tcPr>
            <w:tcW w:w="71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黄山 </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新建六安景铁路 </w:t>
            </w:r>
          </w:p>
        </w:tc>
        <w:tc>
          <w:tcPr>
            <w:tcW w:w="10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2020年后 </w:t>
            </w:r>
          </w:p>
        </w:tc>
        <w:tc>
          <w:tcPr>
            <w:tcW w:w="65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left"/>
            </w:pPr>
            <w:r>
              <w:rPr>
                <w:rFonts w:hint="eastAsia" w:ascii="宋体" w:hAnsi="宋体" w:eastAsia="宋体" w:cs="宋体"/>
                <w:color w:val="333333"/>
                <w:kern w:val="0"/>
                <w:sz w:val="24"/>
                <w:szCs w:val="24"/>
                <w:bdr w:val="none" w:color="auto" w:sz="0" w:space="0"/>
                <w:lang w:val="en-US" w:eastAsia="zh-CN" w:bidi="ar"/>
              </w:rPr>
              <w:t xml:space="preserve">线路自六安至安庆至景德镇，省内长度210公里，投资120亿元，已列入国家中长期铁路网规划，开通后将增强省内西南区域铁路货运南北向沟通，拓展地区省际货运联系通道，支撑六安、安庆、池州、黄山的产业升级与运输结构调整 </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0 </w:t>
            </w:r>
          </w:p>
        </w:tc>
      </w:tr>
      <w:tr>
        <w:tblPrEx>
          <w:tblLayout w:type="fixed"/>
          <w:tblCellMar>
            <w:top w:w="0" w:type="dxa"/>
            <w:left w:w="0" w:type="dxa"/>
            <w:bottom w:w="0" w:type="dxa"/>
            <w:right w:w="0" w:type="dxa"/>
          </w:tblCellMar>
        </w:tblPrEx>
        <w:trPr>
          <w:jc w:val="center"/>
        </w:trPr>
        <w:tc>
          <w:tcPr>
            <w:tcW w:w="10304"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default" w:ascii="方正黑体_GBK" w:hAnsi="方正黑体_GBK" w:eastAsia="方正黑体_GBK" w:cs="方正黑体_GBK"/>
                <w:color w:val="333333"/>
                <w:kern w:val="0"/>
                <w:sz w:val="24"/>
                <w:szCs w:val="24"/>
                <w:bdr w:val="none" w:color="auto" w:sz="0" w:space="0"/>
                <w:lang w:val="en-US" w:eastAsia="zh-CN" w:bidi="ar"/>
              </w:rPr>
              <w:t>合计铁路增量储备</w:t>
            </w:r>
            <w:r>
              <w:rPr>
                <w:rFonts w:hint="eastAsia" w:ascii="宋体" w:hAnsi="宋体" w:eastAsia="宋体" w:cs="宋体"/>
                <w:color w:val="333333"/>
                <w:kern w:val="0"/>
                <w:sz w:val="24"/>
                <w:szCs w:val="24"/>
                <w:bdr w:val="none" w:color="auto" w:sz="0" w:space="0"/>
                <w:lang w:val="en-US" w:eastAsia="zh-CN" w:bidi="ar"/>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18" w:lineRule="atLeast"/>
              <w:jc w:val="center"/>
            </w:pPr>
            <w:r>
              <w:rPr>
                <w:rFonts w:hint="eastAsia" w:ascii="宋体" w:hAnsi="宋体" w:eastAsia="宋体" w:cs="宋体"/>
                <w:color w:val="333333"/>
                <w:kern w:val="0"/>
                <w:sz w:val="24"/>
                <w:szCs w:val="24"/>
                <w:bdr w:val="none" w:color="auto" w:sz="0" w:space="0"/>
                <w:lang w:val="en-US" w:eastAsia="zh-CN" w:bidi="ar"/>
              </w:rPr>
              <w:t xml:space="preserve">1479 </w:t>
            </w:r>
          </w:p>
        </w:tc>
      </w:tr>
    </w:tbl>
    <w:p>
      <w:pPr>
        <w:keepNext w:val="0"/>
        <w:keepLines w:val="0"/>
        <w:widowControl/>
        <w:suppressLineNumbers w:val="0"/>
        <w:spacing w:before="12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ZHUNYSJW">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D21A7"/>
    <w:rsid w:val="3C5D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rFonts w:hint="eastAsia" w:ascii="宋体" w:hAnsi="宋体" w:eastAsia="宋体" w:cs="宋体"/>
      <w:color w:val="333333"/>
      <w:u w:val="none"/>
    </w:rPr>
  </w:style>
  <w:style w:type="character" w:styleId="6">
    <w:name w:val="HTML Acronym"/>
    <w:basedOn w:val="4"/>
    <w:uiPriority w:val="0"/>
    <w:rPr>
      <w:bdr w:val="none" w:color="auto" w:sz="0" w:space="0"/>
    </w:rPr>
  </w:style>
  <w:style w:type="character" w:styleId="7">
    <w:name w:val="Hyperlink"/>
    <w:basedOn w:val="4"/>
    <w:uiPriority w:val="0"/>
    <w:rPr>
      <w:rFonts w:hint="eastAsia" w:ascii="宋体" w:hAnsi="宋体" w:eastAsia="宋体" w:cs="宋体"/>
      <w:color w:val="333333"/>
      <w:u w:val="none"/>
    </w:rPr>
  </w:style>
  <w:style w:type="character" w:customStyle="1" w:styleId="8">
    <w:name w:val="gwds_nopic"/>
    <w:basedOn w:val="4"/>
    <w:uiPriority w:val="0"/>
  </w:style>
  <w:style w:type="character" w:customStyle="1" w:styleId="9">
    <w:name w:val="font"/>
    <w:basedOn w:val="4"/>
    <w:uiPriority w:val="0"/>
  </w:style>
  <w:style w:type="character" w:customStyle="1" w:styleId="10">
    <w:name w:val="gwds_nopic1"/>
    <w:basedOn w:val="4"/>
    <w:uiPriority w:val="0"/>
  </w:style>
  <w:style w:type="character" w:customStyle="1" w:styleId="11">
    <w:name w:val="gwds_nopic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2019-03-10T23:52:00Z</dcterms:created>
  <dc:creator>贺某某</dc:creator>
  <cp:lastModifiedBy>贺某某</cp:lastModifiedBy>
  <dcterms:modified xsi:type="dcterms:W3CDTF">2019-03-10T23:54:01Z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